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sz w:val="40"/>
        </w:rPr>
        <w:t>Foundation Layer Integration Workbook for Modules 4 and 5</w:t>
      </w:r>
    </w:p>
    <w:p>
      <w:pPr>
        <w:jc w:val="center"/>
      </w:pPr>
      <w:r>
        <w:rPr>
          <w:rFonts w:ascii="Arial" w:hAnsi="Arial"/>
          <w:sz w:val="20"/>
        </w:rPr>
        <w:t>Bridging operational workflow discipline with communication, de-escalation, and reflective follow-through</w:t>
      </w:r>
    </w:p>
    <w:p>
      <w:r>
        <w:rPr>
          <w:rFonts w:ascii="Arial" w:hAnsi="Arial"/>
          <w:b/>
          <w:sz w:val="24"/>
        </w:rPr>
        <w:t>How Modules 4 and 5 connect</w:t>
      </w:r>
    </w:p>
    <w:p>
      <w:pPr>
        <w:pStyle w:val="ListBullet"/>
      </w:pPr>
      <w:r>
        <w:rPr>
          <w:rFonts w:ascii="Arial" w:hAnsi="Arial"/>
          <w:sz w:val="20"/>
        </w:rPr>
        <w:t>Module 4 teaches the workflow discipline that keeps work visible, sequenced, and reviewable.</w:t>
      </w:r>
    </w:p>
    <w:p>
      <w:pPr>
        <w:pStyle w:val="ListBullet"/>
      </w:pPr>
      <w:r>
        <w:rPr>
          <w:rFonts w:ascii="Arial" w:hAnsi="Arial"/>
          <w:sz w:val="20"/>
        </w:rPr>
        <w:t>Module 5 teaches the communication posture that keeps those workflows relationally stable under pressure.</w:t>
      </w:r>
    </w:p>
    <w:p>
      <w:pPr>
        <w:pStyle w:val="ListBullet"/>
      </w:pPr>
      <w:r>
        <w:rPr>
          <w:rFonts w:ascii="Arial" w:hAnsi="Arial"/>
          <w:sz w:val="20"/>
        </w:rPr>
        <w:t>Use this workbook to study how workflow clarity and communication quality reinforce one another.</w:t>
      </w:r>
    </w:p>
    <w:p>
      <w:r>
        <w:rPr>
          <w:rFonts w:ascii="Arial" w:hAnsi="Arial"/>
          <w:b/>
          <w:sz w:val="24"/>
        </w:rPr>
        <w:t>Integration exercises</w:t>
      </w:r>
    </w:p>
    <w:p>
      <w:pPr>
        <w:pStyle w:val="ListBullet"/>
      </w:pPr>
      <w:r>
        <w:rPr>
          <w:rFonts w:ascii="Arial" w:hAnsi="Arial"/>
          <w:sz w:val="20"/>
        </w:rPr>
        <w:t>Map one routine workflow and identify where communication quality most affects continuity.</w:t>
      </w:r>
    </w:p>
    <w:p>
      <w:pPr>
        <w:pStyle w:val="ListBullet"/>
      </w:pPr>
      <w:r>
        <w:rPr>
          <w:rFonts w:ascii="Arial" w:hAnsi="Arial"/>
          <w:sz w:val="20"/>
        </w:rPr>
        <w:t>Review one strained interaction and note where a stronger workflow handoff or recovery step could have improved the outcome.</w:t>
      </w:r>
    </w:p>
    <w:p>
      <w:pPr>
        <w:pStyle w:val="ListBullet"/>
      </w:pPr>
      <w:r>
        <w:rPr>
          <w:rFonts w:ascii="Arial" w:hAnsi="Arial"/>
          <w:sz w:val="20"/>
        </w:rPr>
        <w:t>Identify one daily practice change that would strengthen both operational reliability and relational trust.</w:t>
      </w:r>
    </w:p>
    <w:p>
      <w:r>
        <w:rPr>
          <w:rFonts w:ascii="Arial" w:hAnsi="Arial"/>
          <w:b/>
          <w:sz w:val="24"/>
        </w:rPr>
        <w:t>Facilitator discussion prompts</w:t>
      </w:r>
    </w:p>
    <w:p>
      <w:pPr>
        <w:pStyle w:val="ListBullet"/>
      </w:pPr>
      <w:r>
        <w:rPr>
          <w:rFonts w:ascii="Arial" w:hAnsi="Arial"/>
          <w:sz w:val="20"/>
        </w:rPr>
        <w:t>Where does workflow disorder usually create communication strain?</w:t>
      </w:r>
    </w:p>
    <w:p>
      <w:pPr>
        <w:pStyle w:val="ListBullet"/>
      </w:pPr>
      <w:r>
        <w:rPr>
          <w:rFonts w:ascii="Arial" w:hAnsi="Arial"/>
          <w:sz w:val="20"/>
        </w:rPr>
        <w:t>Which communication habits most reliably protect handoffs, escalation, and recovery?</w:t>
      </w:r>
    </w:p>
    <w:p>
      <w:pPr>
        <w:pStyle w:val="ListBullet"/>
      </w:pPr>
      <w:r>
        <w:rPr>
          <w:rFonts w:ascii="Arial" w:hAnsi="Arial"/>
          <w:sz w:val="20"/>
        </w:rPr>
        <w:t>How should teams capture the lessons from a workflow breakdown that also damaged trust or clarity?</w:t>
      </w:r>
    </w:p>
    <w:sectPr w:rsidR="00FC693F" w:rsidRPr="0006063C" w:rsidSect="00034616"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