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t>Governance discussion worksheet</w:t>
      </w:r>
    </w:p>
    <w:p>
      <w:r>
        <w:rPr>
          <w:b/>
        </w:rPr>
        <w:t>Module 2 — Governance and Accountability</w:t>
        <w:br/>
      </w:r>
      <w:r>
        <w:t>Section 1 — Governance map and accountability posture</w:t>
        <w:br/>
      </w:r>
      <w:r>
        <w:t>Prepared for Adolbi Care — Behavioral Health Center at Cypress</w:t>
        <w:br/>
      </w:r>
      <w:r>
        <w:t>Authored by AMOS I</w:t>
      </w:r>
    </w:p>
    <w:p>
      <w:pPr>
        <w:pStyle w:val="Heading1"/>
        <w:shd w:fill="156082" w:val="clear"/>
      </w:pPr>
      <w:r>
        <w:t>Document purpose</w:t>
      </w:r>
    </w:p>
    <w:p>
      <w:r>
        <w:t>This worksheet helps staff translate governance language into site-level examples so the module starts with practical discussion instead of abstract terminology.</w:t>
      </w:r>
    </w:p>
    <w:p>
      <w:r>
        <w:t>Supervisors, trainers, or team leads can use the worksheet during onboarding conversations, coaching check-ins, or competency review meetings.</w:t>
      </w:r>
    </w:p>
    <w:p>
      <w:pPr>
        <w:pStyle w:val="Heading1"/>
        <w:shd w:fill="156082" w:val="clear"/>
      </w:pPr>
      <w:r>
        <w:t>Section context</w:t>
      </w:r>
    </w:p>
    <w:p>
      <w:r>
        <w:t>This opening section explains why governance belongs inside orientation and how accountability should be understood before the learner studies individual rules or workflows.</w:t>
      </w:r>
    </w:p>
    <w:p>
      <w:r>
        <w:t>Help staff understand governance as the structure that makes expectations visible, responsibilities traceable, and follow-through measurable across the organization.</w:t>
      </w:r>
    </w:p>
    <w:p>
      <w:pPr>
        <w:pStyle w:val="Heading2"/>
        <w:shd w:fill="C1E4F5" w:val="clear"/>
      </w:pPr>
      <w:r>
        <w:t>Why this section matters</w:t>
      </w:r>
    </w:p>
    <w:p>
      <w:r>
        <w:t>Governance is not distant from everyday work. It shapes how expectations are communicated, how supervision operates, how documentation is reviewed, and how the organization demonstrates that services are being delivered within approved boundaries.</w:t>
      </w:r>
    </w:p>
    <w:p>
      <w:r>
        <w:t>Accountability is the working expression of governance. Staff are expected to act in ways that can be understood, traced, and confirmed through direction, documentation, and follow-through rather than through guesswork or informal habits.</w:t>
      </w:r>
    </w:p>
    <w:p>
      <w:r>
        <w:t>This section establishes the learning posture for Module 2 by framing accountability as a practical operating discipline that protects clients, staff, leadership, and the organization.</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See the structure first</w:t>
            </w:r>
          </w:p>
        </w:tc>
        <w:tc>
          <w:tcPr>
            <w:tcW w:type="dxa" w:w="4680"/>
          </w:tcPr>
          <w:p>
            <w:pPr>
              <w:spacing w:after="120"/>
            </w:pPr>
            <w:r>
              <w:t>Understand governance as the framework that connects authority, standards, review, and operational follow-through.</w:t>
            </w:r>
          </w:p>
        </w:tc>
      </w:tr>
      <w:tr>
        <w:tc>
          <w:tcPr>
            <w:tcW w:type="dxa" w:w="4680"/>
          </w:tcPr>
          <w:p>
            <w:pPr>
              <w:spacing w:after="120"/>
            </w:pPr>
            <w:r>
              <w:t>Treat accountability as visible work</w:t>
            </w:r>
          </w:p>
        </w:tc>
        <w:tc>
          <w:tcPr>
            <w:tcW w:type="dxa" w:w="4680"/>
          </w:tcPr>
          <w:p>
            <w:pPr>
              <w:spacing w:after="120"/>
            </w:pPr>
            <w:r>
              <w:t>Expect roles, actions, and decisions to be traceable rather than implied or informal.</w:t>
            </w:r>
          </w:p>
        </w:tc>
      </w:tr>
      <w:tr>
        <w:tc>
          <w:tcPr>
            <w:tcW w:type="dxa" w:w="4680"/>
          </w:tcPr>
          <w:p>
            <w:pPr>
              <w:spacing w:after="120"/>
            </w:pPr>
            <w:r>
              <w:t>Use standards intentionally</w:t>
            </w:r>
          </w:p>
        </w:tc>
        <w:tc>
          <w:tcPr>
            <w:tcW w:type="dxa" w:w="4680"/>
          </w:tcPr>
          <w:p>
            <w:pPr>
              <w:spacing w:after="120"/>
            </w:pPr>
            <w:r>
              <w:t>Learn how approved guidance, documentation habits, and review practices shape safe service delivery.</w:t>
            </w:r>
          </w:p>
        </w:tc>
      </w:tr>
      <w:tr>
        <w:tc>
          <w:tcPr>
            <w:tcW w:type="dxa" w:w="4680"/>
          </w:tcPr>
          <w:p>
            <w:pPr>
              <w:spacing w:after="120"/>
            </w:pPr>
            <w:r>
              <w:t>Prepare for escalation and improvement</w:t>
            </w:r>
          </w:p>
        </w:tc>
        <w:tc>
          <w:tcPr>
            <w:tcW w:type="dxa" w:w="4680"/>
          </w:tcPr>
          <w:p>
            <w:pPr>
              <w:spacing w:after="120"/>
            </w:pPr>
            <w:r>
              <w:t>Recognize that concerns should move through reporting, review, action, and closure.</w:t>
            </w:r>
          </w:p>
        </w:tc>
      </w:tr>
    </w:tbl>
    <w:p>
      <w:pPr>
        <w:pStyle w:val="Heading2"/>
        <w:shd w:fill="C1E4F5" w:val="clear"/>
      </w:pPr>
      <w:r>
        <w:t>Key reminders</w:t>
      </w:r>
    </w:p>
    <w:p>
      <w:pPr>
        <w:pStyle w:val="ListBullet"/>
        <w:spacing w:after="120"/>
        <w:ind w:left="720" w:hanging="360"/>
      </w:pPr>
      <w:r>
        <w:t>Governance gives the organization a visible operating structure for expectations and review.</w:t>
      </w:r>
    </w:p>
    <w:p>
      <w:pPr>
        <w:pStyle w:val="ListBullet"/>
        <w:spacing w:after="120"/>
        <w:ind w:left="720" w:hanging="360"/>
      </w:pPr>
      <w:r>
        <w:t>Accountability depends on clarity, traceability, and disciplined follow-through.</w:t>
      </w:r>
    </w:p>
    <w:p>
      <w:pPr>
        <w:pStyle w:val="ListBullet"/>
        <w:spacing w:after="120"/>
        <w:ind w:left="720" w:hanging="360"/>
      </w:pPr>
      <w:r>
        <w:t>A healthy accountability culture supports learning and protection rather than confusion or guesswork.</w:t>
      </w:r>
    </w:p>
    <w:p>
      <w:r>
        <w:t>When expectations are clear and reviewable, staff spend less energy guessing what leadership wants and more energy delivering safe, consistent care.</w:t>
      </w:r>
    </w:p>
    <w:p>
      <w:pPr>
        <w:pStyle w:val="Heading1"/>
        <w:shd w:fill="156082" w:val="clear"/>
      </w:pPr>
      <w:r>
        <w:t>Instructions</w:t>
      </w:r>
    </w:p>
    <w:p>
      <w:pPr>
        <w:pStyle w:val="ListBullet"/>
        <w:spacing w:after="120"/>
        <w:ind w:left="720" w:hanging="360"/>
      </w:pPr>
      <w:r>
        <w:t>Review the section summary and define governance in plain language before filling in the examples.</w:t>
      </w:r>
    </w:p>
    <w:p>
      <w:pPr>
        <w:pStyle w:val="ListBullet"/>
        <w:spacing w:after="120"/>
        <w:ind w:left="720" w:hanging="360"/>
      </w:pPr>
      <w:r>
        <w:t>Complete the site-translation table with real examples from the learner's area of responsibility.</w:t>
      </w:r>
    </w:p>
    <w:p>
      <w:pPr>
        <w:pStyle w:val="ListBullet"/>
        <w:spacing w:after="120"/>
        <w:ind w:left="720" w:hanging="360"/>
      </w:pPr>
      <w:r>
        <w:t>Use the reflection questions to identify where accountability is already visible and where it needs strengthening.</w:t>
      </w:r>
    </w:p>
    <w:p>
      <w:pPr>
        <w:pStyle w:val="ListBullet"/>
        <w:spacing w:after="120"/>
        <w:ind w:left="720" w:hanging="360"/>
      </w:pPr>
      <w:r>
        <w:t>Keep the completed worksheet with the learner's onboarding records or supervision notes as appropriate.</w:t>
      </w:r>
    </w:p>
    <w:p>
      <w:pPr>
        <w:pStyle w:val="Heading1"/>
        <w:shd w:fill="156082" w:val="clear"/>
      </w:pPr>
      <w:r>
        <w:t>Worksheet and record fields</w:t>
      </w:r>
    </w:p>
    <w:p>
      <w:pPr>
        <w:pStyle w:val="Heading3"/>
      </w:pPr>
      <w:r>
        <w:t>Site translation table</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Governance concept</w:t>
            </w:r>
          </w:p>
        </w:tc>
        <w:tc>
          <w:tcPr>
            <w:tcW w:type="dxa" w:w="3120"/>
            <w:shd w:fill="0A2F40" w:val="clear"/>
          </w:tcPr>
          <w:p>
            <w:r>
              <w:rPr>
                <w:rFonts w:ascii="Aptos" w:hAnsi="Aptos"/>
                <w:b/>
                <w:color w:val="FFFFFF"/>
                <w:sz w:val="18"/>
              </w:rPr>
              <w:t>What it looks like at this site</w:t>
            </w:r>
          </w:p>
        </w:tc>
        <w:tc>
          <w:tcPr>
            <w:tcW w:type="dxa" w:w="3120"/>
            <w:shd w:fill="0A2F40" w:val="clear"/>
          </w:tcPr>
          <w:p>
            <w:r>
              <w:rPr>
                <w:rFonts w:ascii="Aptos" w:hAnsi="Aptos"/>
                <w:b/>
                <w:color w:val="FFFFFF"/>
                <w:sz w:val="18"/>
              </w:rPr>
              <w:t>Who is responsible for follow-through?</w:t>
            </w:r>
          </w:p>
        </w:tc>
      </w:tr>
      <w:tr>
        <w:tc>
          <w:tcPr>
            <w:tcW w:type="dxa" w:w="3120"/>
          </w:tcPr>
          <w:p>
            <w:pPr>
              <w:spacing w:after="120"/>
            </w:pPr>
            <w:r>
              <w:t>Clear expectation</w:t>
            </w:r>
          </w:p>
        </w:tc>
        <w:tc>
          <w:tcPr>
            <w:tcW w:type="dxa" w:w="3120"/>
          </w:tcPr>
          <w:p>
            <w:pPr>
              <w:spacing w:after="120"/>
            </w:pPr>
            <w:r/>
          </w:p>
        </w:tc>
        <w:tc>
          <w:tcPr>
            <w:tcW w:type="dxa" w:w="3120"/>
          </w:tcPr>
          <w:p>
            <w:pPr>
              <w:spacing w:after="120"/>
            </w:pPr>
            <w:r/>
          </w:p>
        </w:tc>
      </w:tr>
      <w:tr>
        <w:tc>
          <w:tcPr>
            <w:tcW w:type="dxa" w:w="3120"/>
          </w:tcPr>
          <w:p>
            <w:pPr>
              <w:spacing w:after="120"/>
            </w:pPr>
            <w:r>
              <w:t>Visible supervision</w:t>
            </w:r>
          </w:p>
        </w:tc>
        <w:tc>
          <w:tcPr>
            <w:tcW w:type="dxa" w:w="3120"/>
          </w:tcPr>
          <w:p>
            <w:pPr>
              <w:spacing w:after="120"/>
            </w:pPr>
            <w:r/>
          </w:p>
        </w:tc>
        <w:tc>
          <w:tcPr>
            <w:tcW w:type="dxa" w:w="3120"/>
          </w:tcPr>
          <w:p>
            <w:pPr>
              <w:spacing w:after="120"/>
            </w:pPr>
            <w:r/>
          </w:p>
        </w:tc>
      </w:tr>
      <w:tr>
        <w:tc>
          <w:tcPr>
            <w:tcW w:type="dxa" w:w="3120"/>
          </w:tcPr>
          <w:p>
            <w:pPr>
              <w:spacing w:after="120"/>
            </w:pPr>
            <w:r>
              <w:t>Traceable documentation</w:t>
            </w:r>
          </w:p>
        </w:tc>
        <w:tc>
          <w:tcPr>
            <w:tcW w:type="dxa" w:w="3120"/>
          </w:tcPr>
          <w:p>
            <w:pPr>
              <w:spacing w:after="120"/>
            </w:pPr>
            <w:r/>
          </w:p>
        </w:tc>
        <w:tc>
          <w:tcPr>
            <w:tcW w:type="dxa" w:w="3120"/>
          </w:tcPr>
          <w:p>
            <w:pPr>
              <w:spacing w:after="120"/>
            </w:pPr>
            <w:r/>
          </w:p>
        </w:tc>
      </w:tr>
      <w:tr>
        <w:tc>
          <w:tcPr>
            <w:tcW w:type="dxa" w:w="3120"/>
          </w:tcPr>
          <w:p>
            <w:pPr>
              <w:spacing w:after="120"/>
            </w:pPr>
            <w:r>
              <w:t>Escalation path</w:t>
            </w:r>
          </w:p>
        </w:tc>
        <w:tc>
          <w:tcPr>
            <w:tcW w:type="dxa" w:w="3120"/>
          </w:tcPr>
          <w:p>
            <w:pPr>
              <w:spacing w:after="120"/>
            </w:pPr>
            <w:r/>
          </w:p>
        </w:tc>
        <w:tc>
          <w:tcPr>
            <w:tcW w:type="dxa" w:w="3120"/>
          </w:tcPr>
          <w:p>
            <w:pPr>
              <w:spacing w:after="120"/>
            </w:pPr>
            <w:r/>
          </w:p>
        </w:tc>
      </w:tr>
    </w:tbl>
    <w:p>
      <w:pPr>
        <w:pStyle w:val="Heading3"/>
      </w:pPr>
      <w:r>
        <w:t>Learning check</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Prompt</w:t>
            </w:r>
          </w:p>
        </w:tc>
        <w:tc>
          <w:tcPr>
            <w:tcW w:type="dxa" w:w="4680"/>
            <w:shd w:fill="0A2F40" w:val="clear"/>
          </w:tcPr>
          <w:p>
            <w:r>
              <w:rPr>
                <w:rFonts w:ascii="Aptos" w:hAnsi="Aptos"/>
                <w:b/>
                <w:color w:val="FFFFFF"/>
                <w:sz w:val="18"/>
              </w:rPr>
              <w:t>Learner response or facilitator notes</w:t>
            </w:r>
          </w:p>
        </w:tc>
      </w:tr>
      <w:tr>
        <w:tc>
          <w:tcPr>
            <w:tcW w:type="dxa" w:w="4680"/>
          </w:tcPr>
          <w:p>
            <w:pPr>
              <w:spacing w:after="120"/>
            </w:pPr>
            <w:r>
              <w:t>How would you explain accountability in your own role?</w:t>
            </w:r>
          </w:p>
        </w:tc>
        <w:tc>
          <w:tcPr>
            <w:tcW w:type="dxa" w:w="4680"/>
          </w:tcPr>
          <w:p>
            <w:pPr>
              <w:spacing w:after="120"/>
            </w:pPr>
            <w:r/>
          </w:p>
        </w:tc>
      </w:tr>
      <w:tr>
        <w:tc>
          <w:tcPr>
            <w:tcW w:type="dxa" w:w="4680"/>
          </w:tcPr>
          <w:p>
            <w:pPr>
              <w:spacing w:after="120"/>
            </w:pPr>
            <w:r>
              <w:t>What kind of work should always be reviewable?</w:t>
            </w:r>
          </w:p>
        </w:tc>
        <w:tc>
          <w:tcPr>
            <w:tcW w:type="dxa" w:w="4680"/>
          </w:tcPr>
          <w:p>
            <w:pPr>
              <w:spacing w:after="120"/>
            </w:pPr>
            <w:r/>
          </w:p>
        </w:tc>
      </w:tr>
      <w:tr>
        <w:tc>
          <w:tcPr>
            <w:tcW w:type="dxa" w:w="4680"/>
          </w:tcPr>
          <w:p>
            <w:pPr>
              <w:spacing w:after="120"/>
            </w:pPr>
            <w:r>
              <w:t>What makes a concern appropriate for escalation?</w:t>
            </w:r>
          </w:p>
        </w:tc>
        <w:tc>
          <w:tcPr>
            <w:tcW w:type="dxa" w:w="4680"/>
          </w:tcPr>
          <w:p>
            <w:pPr>
              <w:spacing w:after="120"/>
            </w:pPr>
            <w:r/>
          </w:p>
        </w:tc>
      </w:tr>
    </w:tbl>
    <w:p>
      <w:pPr>
        <w:pStyle w:val="Heading1"/>
        <w:shd w:fill="156082" w:val="clear"/>
      </w:pPr>
      <w:r>
        <w:t>Reflection and completion prompts</w:t>
      </w:r>
    </w:p>
    <w:p>
      <w:pPr>
        <w:pStyle w:val="ListBullet"/>
        <w:spacing w:after="120"/>
        <w:ind w:left="720" w:hanging="360"/>
      </w:pPr>
      <w:r>
        <w:t>Describe one recent work example that shows accountability clearly.</w:t>
      </w:r>
    </w:p>
    <w:p>
      <w:pPr>
        <w:pStyle w:val="ListBullet"/>
        <w:spacing w:after="120"/>
        <w:ind w:left="720" w:hanging="360"/>
      </w:pPr>
      <w:r>
        <w:t>What makes governance feel practical rather than distant from the shift?</w:t>
      </w:r>
    </w:p>
    <w:p>
      <w:pPr>
        <w:pStyle w:val="ListBullet"/>
        <w:spacing w:after="120"/>
        <w:ind w:left="720" w:hanging="360"/>
      </w:pPr>
      <w:r>
        <w:t>Which part of the module should receive extra discussion or reinforcement?</w:t>
      </w:r>
    </w:p>
    <w:sectPr w:rsidR="00FC693F" w:rsidRPr="0006063C" w:rsidSect="00034616">
      <w:headerReference w:type="default" r:id="rId9"/>
      <w:pgSz w:w="12240" w:h="15840"/>
      <w:pgMar w:top="1440" w:right="1440" w:bottom="1440" w:left="1440" w:header="576"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4680"/>
          <w:vAlign w:val="center"/>
        </w:tcPr>
        <w:p>
          <w:pPr>
            <w:jc w:val="left"/>
          </w:pPr>
          <w:r>
            <w:drawing>
              <wp:inline xmlns:a="http://schemas.openxmlformats.org/drawingml/2006/main" xmlns:pic="http://schemas.openxmlformats.org/drawingml/2006/picture">
                <wp:extent cx="1417320" cy="47244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17320" cy="472440"/>
                        </a:xfrm>
                        <a:prstGeom prst="rect"/>
                      </pic:spPr>
                    </pic:pic>
                  </a:graphicData>
                </a:graphic>
              </wp:inline>
            </w:drawing>
          </w:r>
        </w:p>
      </w:tc>
      <w:tc>
        <w:tcPr>
          <w:tcW w:type="dxa" w:w="4680"/>
          <w:vAlign w:val="center"/>
          <w:shd w:fill="E97132" w:val="clear"/>
        </w:tcPr>
        <w:p>
          <w:pPr>
            <w:jc w:val="center"/>
          </w:pPr>
          <w:r>
            <w:rPr>
              <w:rFonts w:ascii="Aptos Display" w:hAnsi="Aptos Display"/>
              <w:b/>
              <w:color w:val="FFFFFF"/>
              <w:sz w:val="18"/>
            </w:rPr>
            <w:t>BEHAVIORAL HEALTH CENTER AT CYPRESS</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4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24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20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Governance discussion worksheet</dc:title>
  <dc:subject>Module 2 — Governance and Accountability — Governance map and accountability posture</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