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Hazard observation worksheet</w:t>
      </w:r>
    </w:p>
    <w:p>
      <w:pPr>
        <w:spacing w:before="0" w:after="200"/>
      </w:pPr>
      <w:r>
        <w:rPr>
          <w:b/>
        </w:rPr>
        <w:t>Module 3 — Universal Safety and Compliance</w:t>
        <w:br/>
      </w:r>
      <w:r>
        <w:t>Section 2 — Environment, hazards, and risk awareness</w:t>
        <w:br/>
      </w:r>
      <w:r>
        <w:t>Prepared for Adolbi Care — Behavioral Health Center at Cypress</w:t>
        <w:br/>
      </w:r>
      <w:r>
        <w:t>Authored by AMOS I</w:t>
      </w:r>
    </w:p>
    <w:p>
      <w:pPr>
        <w:pStyle w:val="Heading1"/>
        <w:shd w:fill="156082" w:val="clear"/>
      </w:pPr>
      <w:r>
        <w:t>Document purpose</w:t>
      </w:r>
    </w:p>
    <w:p>
      <w:r>
        <w:t>This worksheet gives learners a structured way to review visible conditions, determine the correct response path, and record what follow-through should look like.</w:t>
      </w:r>
    </w:p>
    <w:p>
      <w:r>
        <w:t>Facilitators can use the worksheet during walk-through exercises, orientation debriefs, or supervisor-led discussions about recurring environmental issues.</w:t>
      </w:r>
    </w:p>
    <w:p>
      <w:pPr>
        <w:pStyle w:val="Heading1"/>
        <w:shd w:fill="156082" w:val="clear"/>
      </w:pPr>
      <w:r>
        <w:t>Section context</w:t>
      </w:r>
    </w:p>
    <w:p>
      <w:r>
        <w:t>This section teaches learners how to observe surroundings, recognize unsafe conditions, and respond to common environmental risks before they become incidents.</w:t>
      </w:r>
    </w:p>
    <w:p>
      <w:r>
        <w:t>Build practical awareness of how hazards are identified, contained, reported, and corrected in the course of ordinary operations.</w:t>
      </w:r>
    </w:p>
    <w:p>
      <w:pPr>
        <w:pStyle w:val="Heading2"/>
        <w:shd w:fill="C1E4F5" w:val="clear"/>
      </w:pPr>
      <w:r>
        <w:t>Why this section matters</w:t>
      </w:r>
    </w:p>
    <w:p>
      <w:r>
        <w:t>Many preventable incidents begin with conditions that were visible before harm occurred. Clutter, spills, blocked access, damaged equipment, poor lighting, unsecured materials, and unclear traffic flow can all create safety concerns if staff are not actively observing their surroundings. Orientation should therefore train the eye as much as the memory.</w:t>
      </w:r>
    </w:p>
    <w:p>
      <w:r>
        <w:t>Risk awareness is not limited to seeing a problem. It also involves understanding what to do next. Some conditions require immediate correction by the observing staff member. Others require securing the area, communicating with leadership, or documenting the concern so it can be tracked and resolved appropriately. The habit of noticing must be paired with the discipline of response.</w:t>
      </w:r>
    </w:p>
    <w:p>
      <w:r>
        <w:t>This section helps staff connect environmental awareness with accountability. Safe settings do not remain safe by accident. They remain safe because people notice conditions, intervene appropriately, and communicate clearly when a risk exceeds their immediate control.</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Scan the environment</w:t>
            </w:r>
          </w:p>
        </w:tc>
        <w:tc>
          <w:tcPr>
            <w:tcW w:type="dxa" w:w="4680"/>
          </w:tcPr>
          <w:p>
            <w:pPr>
              <w:spacing w:after="120"/>
            </w:pPr>
            <w:r>
              <w:t>Observe walkways, rooms, shared spaces, and equipment areas for conditions that could create preventable harm or disruption.</w:t>
            </w:r>
          </w:p>
        </w:tc>
      </w:tr>
      <w:tr>
        <w:tc>
          <w:tcPr>
            <w:tcW w:type="dxa" w:w="4680"/>
          </w:tcPr>
          <w:p>
            <w:pPr>
              <w:spacing w:after="120"/>
            </w:pPr>
            <w:r>
              <w:t>Act on what is controllable</w:t>
            </w:r>
          </w:p>
        </w:tc>
        <w:tc>
          <w:tcPr>
            <w:tcW w:type="dxa" w:w="4680"/>
          </w:tcPr>
          <w:p>
            <w:pPr>
              <w:spacing w:after="120"/>
            </w:pPr>
            <w:r>
              <w:t>Correct small issues promptly when safe and appropriate rather than leaving them for later attention.</w:t>
            </w:r>
          </w:p>
        </w:tc>
      </w:tr>
      <w:tr>
        <w:tc>
          <w:tcPr>
            <w:tcW w:type="dxa" w:w="4680"/>
          </w:tcPr>
          <w:p>
            <w:pPr>
              <w:spacing w:after="120"/>
            </w:pPr>
            <w:r>
              <w:t>Protect the area</w:t>
            </w:r>
          </w:p>
        </w:tc>
        <w:tc>
          <w:tcPr>
            <w:tcW w:type="dxa" w:w="4680"/>
          </w:tcPr>
          <w:p>
            <w:pPr>
              <w:spacing w:after="120"/>
            </w:pPr>
            <w:r>
              <w:t>Use basic control measures when a condition cannot be immediately fixed so others are not exposed to avoidable risk.</w:t>
            </w:r>
          </w:p>
        </w:tc>
      </w:tr>
      <w:tr>
        <w:tc>
          <w:tcPr>
            <w:tcW w:type="dxa" w:w="4680"/>
          </w:tcPr>
          <w:p>
            <w:pPr>
              <w:spacing w:after="120"/>
            </w:pPr>
            <w:r>
              <w:t>Escalate unresolved concerns</w:t>
            </w:r>
          </w:p>
        </w:tc>
        <w:tc>
          <w:tcPr>
            <w:tcW w:type="dxa" w:w="4680"/>
          </w:tcPr>
          <w:p>
            <w:pPr>
              <w:spacing w:after="120"/>
            </w:pPr>
            <w:r>
              <w:t>Report conditions that require maintenance, supervision, replacement, or higher review through the proper channel.</w:t>
            </w:r>
          </w:p>
        </w:tc>
      </w:tr>
    </w:tbl>
    <w:p>
      <w:pPr>
        <w:pStyle w:val="Heading2"/>
        <w:shd w:fill="C1E4F5" w:val="clear"/>
      </w:pPr>
      <w:r>
        <w:t>Key reminders</w:t>
      </w:r>
    </w:p>
    <w:p>
      <w:pPr>
        <w:pStyle w:val="ListBullet"/>
        <w:spacing w:after="120"/>
        <w:ind w:left="720" w:hanging="360"/>
      </w:pPr>
      <w:r>
        <w:t>Most hazard control begins with attention to ordinary surroundings.</w:t>
      </w:r>
    </w:p>
    <w:p>
      <w:pPr>
        <w:pStyle w:val="ListBullet"/>
        <w:spacing w:after="120"/>
        <w:ind w:left="720" w:hanging="360"/>
      </w:pPr>
      <w:r>
        <w:t>Observation without action leaves preventable risk in place.</w:t>
      </w:r>
    </w:p>
    <w:p>
      <w:pPr>
        <w:pStyle w:val="ListBullet"/>
        <w:spacing w:after="120"/>
        <w:ind w:left="720" w:hanging="360"/>
      </w:pPr>
      <w:r>
        <w:t>Clear reporting turns isolated observations into tracked correction.</w:t>
      </w:r>
    </w:p>
    <w:p>
      <w:r>
        <w:t>A disciplined safety culture treats visible hazards as action items, not background noise. The goal is not fear; it is practical attentiveness and timely correction.</w:t>
      </w:r>
    </w:p>
    <w:p>
      <w:pPr>
        <w:pStyle w:val="Heading1"/>
        <w:shd w:fill="156082" w:val="clear"/>
      </w:pPr>
      <w:r>
        <w:t>Instructions</w:t>
      </w:r>
    </w:p>
    <w:p>
      <w:pPr>
        <w:pStyle w:val="ListBullet"/>
        <w:spacing w:after="120"/>
        <w:ind w:left="720" w:hanging="360"/>
      </w:pPr>
      <w:r>
        <w:t>Write down the condition exactly as observed before discussing possible action.</w:t>
      </w:r>
    </w:p>
    <w:p>
      <w:pPr>
        <w:pStyle w:val="ListBullet"/>
        <w:spacing w:after="120"/>
        <w:ind w:left="720" w:hanging="360"/>
      </w:pPr>
      <w:r>
        <w:t>Identify what can be corrected immediately and what requires protection, escalation, or later confirmation.</w:t>
      </w:r>
    </w:p>
    <w:p>
      <w:pPr>
        <w:pStyle w:val="ListBullet"/>
        <w:spacing w:after="120"/>
        <w:ind w:left="720" w:hanging="360"/>
      </w:pPr>
      <w:r>
        <w:t>Use the final section to record how closure or follow-up would be verified.</w:t>
      </w:r>
    </w:p>
    <w:p>
      <w:pPr>
        <w:pStyle w:val="Heading1"/>
        <w:shd w:fill="156082" w:val="clear"/>
      </w:pPr>
      <w:r>
        <w:t>Worksheet and record fields</w:t>
      </w:r>
    </w:p>
    <w:p>
      <w:pPr>
        <w:pStyle w:val="Heading3"/>
      </w:pPr>
      <w:r>
        <w:t>Hazard observation log</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Condition observed</w:t>
            </w:r>
          </w:p>
        </w:tc>
        <w:tc>
          <w:tcPr>
            <w:tcW w:type="dxa" w:w="2340"/>
            <w:shd w:fill="0A2F40" w:val="clear"/>
          </w:tcPr>
          <w:p>
            <w:r>
              <w:rPr>
                <w:rFonts w:ascii="Aptos" w:hAnsi="Aptos"/>
                <w:b/>
                <w:color w:val="FFFFFF"/>
                <w:sz w:val="18"/>
              </w:rPr>
              <w:t>Immediate risk</w:t>
            </w:r>
          </w:p>
        </w:tc>
        <w:tc>
          <w:tcPr>
            <w:tcW w:type="dxa" w:w="2340"/>
            <w:shd w:fill="0A2F40" w:val="clear"/>
          </w:tcPr>
          <w:p>
            <w:r>
              <w:rPr>
                <w:rFonts w:ascii="Aptos" w:hAnsi="Aptos"/>
                <w:b/>
                <w:color w:val="FFFFFF"/>
                <w:sz w:val="18"/>
              </w:rPr>
              <w:t>First action taken</w:t>
            </w:r>
          </w:p>
        </w:tc>
        <w:tc>
          <w:tcPr>
            <w:tcW w:type="dxa" w:w="2340"/>
            <w:shd w:fill="0A2F40" w:val="clear"/>
          </w:tcPr>
          <w:p>
            <w:r>
              <w:rPr>
                <w:rFonts w:ascii="Aptos" w:hAnsi="Aptos"/>
                <w:b/>
                <w:color w:val="FFFFFF"/>
                <w:sz w:val="18"/>
              </w:rPr>
              <w:t>Who was informed</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3"/>
      </w:pPr>
      <w:r>
        <w:t>Follow-through review</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What still needs correction</w:t>
            </w:r>
          </w:p>
        </w:tc>
        <w:tc>
          <w:tcPr>
            <w:tcW w:type="dxa" w:w="2340"/>
            <w:shd w:fill="0A2F40" w:val="clear"/>
          </w:tcPr>
          <w:p>
            <w:r>
              <w:rPr>
                <w:rFonts w:ascii="Aptos" w:hAnsi="Aptos"/>
                <w:b/>
                <w:color w:val="FFFFFF"/>
                <w:sz w:val="18"/>
              </w:rPr>
              <w:t>Owner or department</w:t>
            </w:r>
          </w:p>
        </w:tc>
        <w:tc>
          <w:tcPr>
            <w:tcW w:type="dxa" w:w="2340"/>
            <w:shd w:fill="0A2F40" w:val="clear"/>
          </w:tcPr>
          <w:p>
            <w:r>
              <w:rPr>
                <w:rFonts w:ascii="Aptos" w:hAnsi="Aptos"/>
                <w:b/>
                <w:color w:val="FFFFFF"/>
                <w:sz w:val="18"/>
              </w:rPr>
              <w:t>Target date</w:t>
            </w:r>
          </w:p>
        </w:tc>
        <w:tc>
          <w:tcPr>
            <w:tcW w:type="dxa" w:w="2340"/>
            <w:shd w:fill="0A2F40" w:val="clear"/>
          </w:tcPr>
          <w:p>
            <w:r>
              <w:rPr>
                <w:rFonts w:ascii="Aptos" w:hAnsi="Aptos"/>
                <w:b/>
                <w:color w:val="FFFFFF"/>
                <w:sz w:val="18"/>
              </w:rPr>
              <w:t>Closure evidence</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1"/>
        <w:shd w:fill="156082" w:val="clear"/>
      </w:pPr>
      <w:r>
        <w:t>Reflection and completion prompts</w:t>
      </w:r>
    </w:p>
    <w:p>
      <w:pPr>
        <w:pStyle w:val="ListBullet"/>
        <w:spacing w:after="120"/>
        <w:ind w:left="720" w:hanging="360"/>
      </w:pPr>
      <w:r>
        <w:t>How do you decide whether a visible condition is within your role to correct directly?</w:t>
      </w:r>
    </w:p>
    <w:p>
      <w:pPr>
        <w:pStyle w:val="ListBullet"/>
        <w:spacing w:after="120"/>
        <w:ind w:left="720" w:hanging="360"/>
      </w:pPr>
      <w:r>
        <w:t>What makes a hazard report useful for the next person who must act on it?</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Hazard observation worksheet</dc:title>
  <dc:subject>Module 3 — Universal Safety and Compliance — Environment, hazards, and risk awareness</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