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Inspection export planning worksheet</w:t>
      </w:r>
    </w:p>
    <w:p>
      <w:pPr>
        <w:spacing w:before="0" w:after="200"/>
      </w:pPr>
      <w:r>
        <w:rPr>
          <w:b/>
        </w:rPr>
        <w:t>Module 9 — Personnel-File Evidence, Training Matrices, and Administrator Control</w:t>
        <w:br/>
      </w:r>
      <w:r>
        <w:t>Section 5 — Export and inspection-sequence readiness</w:t>
        <w:br/>
      </w:r>
      <w:r>
        <w:t>Prepared for Adolbi Care — Behavioral Health Center at Cypress</w:t>
        <w:br/>
      </w:r>
      <w:r>
        <w:t>Authored by AMOS I</w:t>
      </w:r>
    </w:p>
    <w:p>
      <w:pPr>
        <w:pStyle w:val="Heading1"/>
        <w:shd w:fill="156082" w:val="clear"/>
      </w:pPr>
      <w:r>
        <w:t>Document purpose</w:t>
      </w:r>
    </w:p>
    <w:p>
      <w:r>
        <w:t>This editable worksheet helps teams plan one personnel-file export, including sequence order, known gaps, reviewer roles, and administrator approval steps.</w:t>
      </w:r>
    </w:p>
    <w:p>
      <w:r>
        <w:t>Use the worksheet before inspections, surveys, or leadership reviews when a file packet must be prepared carefully and explained clearly.</w:t>
      </w:r>
    </w:p>
    <w:p>
      <w:pPr>
        <w:pStyle w:val="Heading1"/>
        <w:shd w:fill="156082" w:val="clear"/>
      </w:pPr>
      <w:r>
        <w:t>Section context</w:t>
      </w:r>
    </w:p>
    <w:p>
      <w:r>
        <w:t>This closing section explains how personnel-file evidence should be exportable, sequenced, and inspection-ready so records can be produced quickly and defended clearly under review.</w:t>
      </w:r>
    </w:p>
    <w:p>
      <w:r>
        <w:t>Teach teams how to prepare personnel-file exports and inspection sequences that present evidence in a logical order instead of scrambling during regulatory or leadership review.</w:t>
      </w:r>
    </w:p>
    <w:p>
      <w:pPr>
        <w:pStyle w:val="Heading2"/>
        <w:shd w:fill="C1E4F5" w:val="clear"/>
      </w:pPr>
      <w:r>
        <w:t>Why this section matters</w:t>
      </w:r>
    </w:p>
    <w:p>
      <w:r>
        <w:t>A controlled personnel-file system should not only hold evidence; it should also produce it quickly. When leadership, auditors, or inspectors ask for records, the organization needs more than a folder path. It needs an export sequence that presents evidence in a logical order and explains readiness clearly.</w:t>
      </w:r>
    </w:p>
    <w:p>
      <w:r>
        <w:t>Inspection-sequence readiness depends on structure. If the file, matrix, missing-item controls, and release records are maintained well, the organization can export a coherent packet instead of rushing to assemble disconnected documents under pressure. This improves credibility and reduces avoidable stress.</w:t>
      </w:r>
    </w:p>
    <w:p>
      <w:r>
        <w:t>The final lesson of Module 9 treats export readiness as a standing capability. Teams should know what order to present records in, which documents should appear first, how gaps should be explained honestly, and what administrator controls protect the export from becoming incomplete or misleading.</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Exports should tell a story</w:t>
            </w:r>
          </w:p>
        </w:tc>
        <w:tc>
          <w:tcPr>
            <w:tcW w:type="dxa" w:w="4680"/>
          </w:tcPr>
          <w:p>
            <w:pPr>
              <w:spacing w:after="120"/>
            </w:pPr>
            <w:r>
              <w:t>The sequence of records should help the reviewer understand identity, training, competency, controls, and current status without guessing.</w:t>
            </w:r>
          </w:p>
        </w:tc>
      </w:tr>
      <w:tr>
        <w:tc>
          <w:tcPr>
            <w:tcW w:type="dxa" w:w="4680"/>
          </w:tcPr>
          <w:p>
            <w:pPr>
              <w:spacing w:after="120"/>
            </w:pPr>
            <w:r>
              <w:t>Preparation should happen before inspection</w:t>
            </w:r>
          </w:p>
        </w:tc>
        <w:tc>
          <w:tcPr>
            <w:tcW w:type="dxa" w:w="4680"/>
          </w:tcPr>
          <w:p>
            <w:pPr>
              <w:spacing w:after="120"/>
            </w:pPr>
            <w:r>
              <w:t>Teams should not invent their export method during an audit or leadership request; the sequence should already be designed.</w:t>
            </w:r>
          </w:p>
        </w:tc>
      </w:tr>
      <w:tr>
        <w:tc>
          <w:tcPr>
            <w:tcW w:type="dxa" w:w="4680"/>
          </w:tcPr>
          <w:p>
            <w:pPr>
              <w:spacing w:after="120"/>
            </w:pPr>
            <w:r>
              <w:t>Gaps should be managed transparently</w:t>
            </w:r>
          </w:p>
        </w:tc>
        <w:tc>
          <w:tcPr>
            <w:tcW w:type="dxa" w:w="4680"/>
          </w:tcPr>
          <w:p>
            <w:pPr>
              <w:spacing w:after="120"/>
            </w:pPr>
            <w:r>
              <w:t>If a record is missing or under correction, the export process should show how that issue is tracked instead of hiding it.</w:t>
            </w:r>
          </w:p>
        </w:tc>
      </w:tr>
      <w:tr>
        <w:tc>
          <w:tcPr>
            <w:tcW w:type="dxa" w:w="4680"/>
          </w:tcPr>
          <w:p>
            <w:pPr>
              <w:spacing w:after="120"/>
            </w:pPr>
            <w:r>
              <w:t>Administrator review protects defensibility</w:t>
            </w:r>
          </w:p>
        </w:tc>
        <w:tc>
          <w:tcPr>
            <w:tcW w:type="dxa" w:w="4680"/>
          </w:tcPr>
          <w:p>
            <w:pPr>
              <w:spacing w:after="120"/>
            </w:pPr>
            <w:r>
              <w:t>High-stakes exports should receive administrator-level review to confirm that sequence, scope, and explanation are sound.</w:t>
            </w:r>
          </w:p>
        </w:tc>
      </w:tr>
    </w:tbl>
    <w:p>
      <w:pPr>
        <w:pStyle w:val="Heading2"/>
        <w:shd w:fill="C1E4F5" w:val="clear"/>
      </w:pPr>
      <w:r>
        <w:t>Key reminders</w:t>
      </w:r>
    </w:p>
    <w:p>
      <w:pPr>
        <w:pStyle w:val="ListBullet"/>
        <w:spacing w:after="120"/>
        <w:ind w:left="720" w:hanging="360"/>
      </w:pPr>
      <w:r>
        <w:t>Inspection readiness depends on the ability to export a coherent evidence sequence, not just store documents.</w:t>
      </w:r>
    </w:p>
    <w:p>
      <w:pPr>
        <w:pStyle w:val="ListBullet"/>
        <w:spacing w:after="120"/>
        <w:ind w:left="720" w:hanging="360"/>
      </w:pPr>
      <w:r>
        <w:t>An export packet should help reviewers understand the staff member's status quickly and accurately.</w:t>
      </w:r>
    </w:p>
    <w:p>
      <w:pPr>
        <w:pStyle w:val="ListBullet"/>
        <w:spacing w:after="120"/>
        <w:ind w:left="720" w:hanging="360"/>
      </w:pPr>
      <w:r>
        <w:t>Administrator review strengthens transparency, sequencing, and defensibility under inspection pressure.</w:t>
      </w:r>
    </w:p>
    <w:p>
      <w:r>
        <w:t>The closing lesson turns documentation into presentation readiness: when evidence can be exported in the right sequence, the organization is far better prepared for inspection, review, and defense.</w:t>
      </w:r>
    </w:p>
    <w:p>
      <w:pPr>
        <w:pStyle w:val="Heading1"/>
        <w:shd w:fill="156082" w:val="clear"/>
      </w:pPr>
      <w:r>
        <w:t>Instructions</w:t>
      </w:r>
    </w:p>
    <w:p>
      <w:pPr>
        <w:pStyle w:val="ListBullet"/>
        <w:spacing w:after="120"/>
        <w:ind w:left="720" w:hanging="360"/>
      </w:pPr>
      <w:r>
        <w:t>Choose one personnel file or staff cohort export that is likely to be requested for review.</w:t>
      </w:r>
    </w:p>
    <w:p>
      <w:pPr>
        <w:pStyle w:val="ListBullet"/>
        <w:spacing w:after="120"/>
        <w:ind w:left="720" w:hanging="360"/>
      </w:pPr>
      <w:r>
        <w:t>List the sequence in which records should be presented and note any known gap or corrective disclosure that should accompany the packet.</w:t>
      </w:r>
    </w:p>
    <w:p>
      <w:pPr>
        <w:pStyle w:val="ListBullet"/>
        <w:spacing w:after="120"/>
        <w:ind w:left="720" w:hanging="360"/>
      </w:pPr>
      <w:r>
        <w:t>Identify the reviewer and administrator who must confirm the packet is complete, accurate, and ready to present.</w:t>
      </w:r>
    </w:p>
    <w:p>
      <w:pPr>
        <w:pStyle w:val="Heading1"/>
        <w:shd w:fill="156082" w:val="clear"/>
      </w:pPr>
      <w:r>
        <w:t>Worksheet and record fields</w:t>
      </w:r>
    </w:p>
    <w:p>
      <w:pPr>
        <w:pStyle w:val="Heading3"/>
      </w:pPr>
      <w:r>
        <w:t>Export sequence planner</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Packet section</w:t>
            </w:r>
          </w:p>
        </w:tc>
        <w:tc>
          <w:tcPr>
            <w:tcW w:type="dxa" w:w="2340"/>
            <w:shd w:fill="0A2F40" w:val="clear"/>
          </w:tcPr>
          <w:p>
            <w:r>
              <w:rPr>
                <w:rFonts w:ascii="Aptos" w:hAnsi="Aptos"/>
                <w:b/>
                <w:color w:val="FFFFFF"/>
                <w:sz w:val="18"/>
              </w:rPr>
              <w:t>Records included</w:t>
            </w:r>
          </w:p>
        </w:tc>
        <w:tc>
          <w:tcPr>
            <w:tcW w:type="dxa" w:w="2340"/>
            <w:shd w:fill="0A2F40" w:val="clear"/>
          </w:tcPr>
          <w:p>
            <w:r>
              <w:rPr>
                <w:rFonts w:ascii="Aptos" w:hAnsi="Aptos"/>
                <w:b/>
                <w:color w:val="FFFFFF"/>
                <w:sz w:val="18"/>
              </w:rPr>
              <w:t>Reason for order</w:t>
            </w:r>
          </w:p>
        </w:tc>
        <w:tc>
          <w:tcPr>
            <w:tcW w:type="dxa" w:w="2340"/>
            <w:shd w:fill="0A2F40" w:val="clear"/>
          </w:tcPr>
          <w:p>
            <w:r>
              <w:rPr>
                <w:rFonts w:ascii="Aptos" w:hAnsi="Aptos"/>
                <w:b/>
                <w:color w:val="FFFFFF"/>
                <w:sz w:val="18"/>
              </w:rPr>
              <w:t>Known issue or note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3"/>
      </w:pPr>
      <w:r>
        <w:t>Final review and sign-off</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Reviewer</w:t>
            </w:r>
          </w:p>
        </w:tc>
        <w:tc>
          <w:tcPr>
            <w:tcW w:type="dxa" w:w="2340"/>
            <w:shd w:fill="0A2F40" w:val="clear"/>
          </w:tcPr>
          <w:p>
            <w:r>
              <w:rPr>
                <w:rFonts w:ascii="Aptos" w:hAnsi="Aptos"/>
                <w:b/>
                <w:color w:val="FFFFFF"/>
                <w:sz w:val="18"/>
              </w:rPr>
              <w:t>Administrator sign-off needed</w:t>
            </w:r>
          </w:p>
        </w:tc>
        <w:tc>
          <w:tcPr>
            <w:tcW w:type="dxa" w:w="2340"/>
            <w:shd w:fill="0A2F40" w:val="clear"/>
          </w:tcPr>
          <w:p>
            <w:r>
              <w:rPr>
                <w:rFonts w:ascii="Aptos" w:hAnsi="Aptos"/>
                <w:b/>
                <w:color w:val="FFFFFF"/>
                <w:sz w:val="18"/>
              </w:rPr>
              <w:t>Open issue before release</w:t>
            </w:r>
          </w:p>
        </w:tc>
        <w:tc>
          <w:tcPr>
            <w:tcW w:type="dxa" w:w="2340"/>
            <w:shd w:fill="0A2F40" w:val="clear"/>
          </w:tcPr>
          <w:p>
            <w:r>
              <w:rPr>
                <w:rFonts w:ascii="Aptos" w:hAnsi="Aptos"/>
                <w:b/>
                <w:color w:val="FFFFFF"/>
                <w:sz w:val="18"/>
              </w:rPr>
              <w:t>Final check date</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makes this export sequence understandable to an external reviewer who knows nothing about your internal shortcuts?</w:t>
      </w:r>
    </w:p>
    <w:p>
      <w:pPr>
        <w:pStyle w:val="ListBullet"/>
        <w:spacing w:after="120"/>
        <w:ind w:left="720" w:hanging="360"/>
      </w:pPr>
      <w:r>
        <w:t>Which known issue must be disclosed rather than hidden in the packet?</w:t>
      </w:r>
    </w:p>
    <w:p>
      <w:pPr>
        <w:pStyle w:val="ListBullet"/>
        <w:spacing w:after="120"/>
        <w:ind w:left="720" w:hanging="360"/>
      </w:pPr>
      <w:r>
        <w:t>How will the final reviewer confirm that the export truly reflects the current file state?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Inspection export planning worksheet</dc:title>
  <dc:subject>Module 9 — Personnel-File Evidence, Training Matrices, and Administrator Control — Export and inspection-sequence readiness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