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Interaction repair reflection worksheet</w:t>
      </w:r>
    </w:p>
    <w:p>
      <w:pPr>
        <w:spacing w:before="0" w:after="200"/>
      </w:pPr>
      <w:r>
        <w:rPr>
          <w:b/>
        </w:rPr>
        <w:t>Module 5 — Professional Communication and Relational Practice</w:t>
        <w:br/>
      </w:r>
      <w:r>
        <w:t>Section 4 — De-escalation, repair, and service recovery</w:t>
        <w:br/>
      </w:r>
      <w:r>
        <w:t>Prepared for Adolbi Care — Behavioral Health Center at Cypress</w:t>
        <w:br/>
      </w:r>
      <w:r>
        <w:t>Authored by AMOS I</w:t>
      </w:r>
    </w:p>
    <w:p>
      <w:pPr>
        <w:pStyle w:val="Heading1"/>
        <w:shd w:fill="156082" w:val="clear"/>
      </w:pPr>
      <w:r>
        <w:t>Document purpose</w:t>
      </w:r>
    </w:p>
    <w:p>
      <w:r>
        <w:t>This editable worksheet helps learners map a strained interaction and identify what stabilization, repair, and follow-through steps should have occurred.</w:t>
      </w:r>
    </w:p>
    <w:p>
      <w:r>
        <w:t>Supervisors can use the worksheet during debrief, coaching, or return demonstration when a difficult interaction needs structured reflection instead of general discussion.</w:t>
      </w:r>
    </w:p>
    <w:p>
      <w:pPr>
        <w:pStyle w:val="Heading1"/>
        <w:shd w:fill="156082" w:val="clear"/>
      </w:pPr>
      <w:r>
        <w:t>Section context</w:t>
      </w:r>
    </w:p>
    <w:p>
      <w:r>
        <w:t>This section addresses what staff should do when communication breaks down, emotions rise, or service has to be repaired after a poor interaction. It frames de-escalation as a sequence of stabilization, dignity, and recovery rather than a reactive improvisation.</w:t>
      </w:r>
    </w:p>
    <w:p>
      <w:r>
        <w:t>Teach learners how to stabilize tense interactions, preserve dignity, and guide communication toward recovery instead of further escalation.</w:t>
      </w:r>
    </w:p>
    <w:p>
      <w:pPr>
        <w:pStyle w:val="Heading2"/>
        <w:shd w:fill="C1E4F5" w:val="clear"/>
      </w:pPr>
      <w:r>
        <w:t>Why this section matters</w:t>
      </w:r>
    </w:p>
    <w:p>
      <w:r>
        <w:t>Even strong staff will encounter interactions that become strained, emotionally heightened, or misaligned. The question is not whether difficult moments will occur, but whether the team has a dependable way to respond when they do. This section introduces de-escalation as a structured response rather than a personality trait or improvisational talent.</w:t>
      </w:r>
    </w:p>
    <w:p>
      <w:r>
        <w:t>Recovery begins by reducing heat before trying to solve everything at once. Learners need to understand how tone, pace, environment, word choice, and emotional containment can help an interaction move from volatility toward enough stability for the next decision to be made. Repair also includes acknowledging impact where appropriate and re-establishing a workable relationship so the service task can continue more safely.</w:t>
      </w:r>
    </w:p>
    <w:p>
      <w:r>
        <w:t>The section should therefore help learners distinguish between ending a moment and actually recovering from it. A successful response lowers immediate risk, restores enough dignity for progress, and creates a clearer path forward for both staff and the person they are supporting.</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Stabilize the moment first</w:t>
            </w:r>
          </w:p>
        </w:tc>
        <w:tc>
          <w:tcPr>
            <w:tcW w:type="dxa" w:w="4680"/>
          </w:tcPr>
          <w:p>
            <w:pPr>
              <w:spacing w:after="120"/>
            </w:pPr>
            <w:r>
              <w:t>When tension rises, staff should prioritize calm, safety, and reduced pressure before trying to solve every part of the problem.</w:t>
            </w:r>
          </w:p>
        </w:tc>
      </w:tr>
      <w:tr>
        <w:tc>
          <w:tcPr>
            <w:tcW w:type="dxa" w:w="4680"/>
          </w:tcPr>
          <w:p>
            <w:pPr>
              <w:spacing w:after="120"/>
            </w:pPr>
            <w:r>
              <w:t>Acknowledge impact without losing structure</w:t>
            </w:r>
          </w:p>
        </w:tc>
        <w:tc>
          <w:tcPr>
            <w:tcW w:type="dxa" w:w="4680"/>
          </w:tcPr>
          <w:p>
            <w:pPr>
              <w:spacing w:after="120"/>
            </w:pPr>
            <w:r>
              <w:t>Recognition of frustration or harm can lower defensiveness while still keeping the conversation inside clear professional boundaries.</w:t>
            </w:r>
          </w:p>
        </w:tc>
      </w:tr>
      <w:tr>
        <w:tc>
          <w:tcPr>
            <w:tcW w:type="dxa" w:w="4680"/>
          </w:tcPr>
          <w:p>
            <w:pPr>
              <w:spacing w:after="120"/>
            </w:pPr>
            <w:r>
              <w:t>Repair what can be repaired</w:t>
            </w:r>
          </w:p>
        </w:tc>
        <w:tc>
          <w:tcPr>
            <w:tcW w:type="dxa" w:w="4680"/>
          </w:tcPr>
          <w:p>
            <w:pPr>
              <w:spacing w:after="120"/>
            </w:pPr>
            <w:r>
              <w:t>Service recovery includes clarifying what happened, what will happen next, and how trust can begin to be rebuilt.</w:t>
            </w:r>
          </w:p>
        </w:tc>
      </w:tr>
      <w:tr>
        <w:tc>
          <w:tcPr>
            <w:tcW w:type="dxa" w:w="4680"/>
          </w:tcPr>
          <w:p>
            <w:pPr>
              <w:spacing w:after="120"/>
            </w:pPr>
            <w:r>
              <w:t>Learn from the breakdown</w:t>
            </w:r>
          </w:p>
        </w:tc>
        <w:tc>
          <w:tcPr>
            <w:tcW w:type="dxa" w:w="4680"/>
          </w:tcPr>
          <w:p>
            <w:pPr>
              <w:spacing w:after="120"/>
            </w:pPr>
            <w:r>
              <w:t>Difficult interactions should generate learning about triggers, communication gaps, and better response patterns for the team.</w:t>
            </w:r>
          </w:p>
        </w:tc>
      </w:tr>
    </w:tbl>
    <w:p>
      <w:pPr>
        <w:pStyle w:val="Heading2"/>
        <w:shd w:fill="C1E4F5" w:val="clear"/>
      </w:pPr>
      <w:r>
        <w:t>Key reminders</w:t>
      </w:r>
    </w:p>
    <w:p>
      <w:pPr>
        <w:pStyle w:val="ListBullet"/>
        <w:spacing w:after="120"/>
        <w:ind w:left="720" w:hanging="360"/>
      </w:pPr>
      <w:r>
        <w:t>De-escalation is a structured skill, not just a calming tone.</w:t>
      </w:r>
    </w:p>
    <w:p>
      <w:pPr>
        <w:pStyle w:val="ListBullet"/>
        <w:spacing w:after="120"/>
        <w:ind w:left="720" w:hanging="360"/>
      </w:pPr>
      <w:r>
        <w:t>Repair requires dignity, clarity, and follow-through.</w:t>
      </w:r>
    </w:p>
    <w:p>
      <w:pPr>
        <w:pStyle w:val="ListBullet"/>
        <w:spacing w:after="120"/>
        <w:ind w:left="720" w:hanging="360"/>
      </w:pPr>
      <w:r>
        <w:t>Good recovery lowers immediate risk and improves future practice.</w:t>
      </w:r>
    </w:p>
    <w:p>
      <w:r>
        <w:t>This section helps staff distinguish between winning a moment and actually recovering the relationship enough for work and care to continue safely.</w:t>
      </w:r>
    </w:p>
    <w:p>
      <w:pPr>
        <w:pStyle w:val="Heading1"/>
        <w:shd w:fill="156082" w:val="clear"/>
      </w:pPr>
      <w:r>
        <w:t>Instructions</w:t>
      </w:r>
    </w:p>
    <w:p>
      <w:pPr>
        <w:pStyle w:val="ListBullet"/>
        <w:spacing w:after="120"/>
        <w:ind w:left="720" w:hanging="360"/>
      </w:pPr>
      <w:r>
        <w:t>Ask the learner to choose one interaction that became tense, misaligned, or harder to recover than expected.</w:t>
      </w:r>
    </w:p>
    <w:p>
      <w:pPr>
        <w:pStyle w:val="ListBullet"/>
        <w:spacing w:after="120"/>
        <w:ind w:left="720" w:hanging="360"/>
      </w:pPr>
      <w:r>
        <w:t>Use the worksheet to break the event into stabilization, repair, and follow-through phases so the discussion stays specific.</w:t>
      </w:r>
    </w:p>
    <w:p>
      <w:pPr>
        <w:pStyle w:val="ListBullet"/>
        <w:spacing w:after="120"/>
        <w:ind w:left="720" w:hanging="360"/>
      </w:pPr>
      <w:r>
        <w:t>Close by identifying one recovery behavior the learner will strengthen during the next similar interaction.</w:t>
      </w:r>
    </w:p>
    <w:p>
      <w:pPr>
        <w:pStyle w:val="Heading1"/>
        <w:shd w:fill="156082" w:val="clear"/>
      </w:pPr>
      <w:r>
        <w:t>Worksheet and record fields</w:t>
      </w:r>
    </w:p>
    <w:p>
      <w:pPr>
        <w:pStyle w:val="Heading3"/>
      </w:pPr>
      <w:r>
        <w:t>Interaction repair map</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What raised the tension</w:t>
            </w:r>
          </w:p>
        </w:tc>
        <w:tc>
          <w:tcPr>
            <w:tcW w:type="dxa" w:w="3120"/>
            <w:shd w:fill="0A2F40" w:val="clear"/>
          </w:tcPr>
          <w:p>
            <w:r>
              <w:rPr>
                <w:rFonts w:ascii="Aptos" w:hAnsi="Aptos"/>
                <w:b/>
                <w:color w:val="FFFFFF"/>
                <w:sz w:val="18"/>
              </w:rPr>
              <w:t>What I did to stabilize</w:t>
            </w:r>
          </w:p>
        </w:tc>
        <w:tc>
          <w:tcPr>
            <w:tcW w:type="dxa" w:w="3120"/>
            <w:shd w:fill="0A2F40" w:val="clear"/>
          </w:tcPr>
          <w:p>
            <w:r>
              <w:rPr>
                <w:rFonts w:ascii="Aptos" w:hAnsi="Aptos"/>
                <w:b/>
                <w:color w:val="FFFFFF"/>
                <w:sz w:val="18"/>
              </w:rPr>
              <w:t>What repair step was still needed</w:t>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bl>
    <w:p>
      <w:pPr>
        <w:pStyle w:val="Heading3"/>
      </w:pPr>
      <w:r>
        <w:t>Recovery improvement plan</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Recovery habit to strengthen</w:t>
            </w:r>
          </w:p>
        </w:tc>
        <w:tc>
          <w:tcPr>
            <w:tcW w:type="dxa" w:w="3120"/>
            <w:shd w:fill="0A2F40" w:val="clear"/>
          </w:tcPr>
          <w:p>
            <w:r>
              <w:rPr>
                <w:rFonts w:ascii="Aptos" w:hAnsi="Aptos"/>
                <w:b/>
                <w:color w:val="FFFFFF"/>
                <w:sz w:val="18"/>
              </w:rPr>
              <w:t>Why it matters</w:t>
            </w:r>
          </w:p>
        </w:tc>
        <w:tc>
          <w:tcPr>
            <w:tcW w:type="dxa" w:w="3120"/>
            <w:shd w:fill="0A2F40" w:val="clear"/>
          </w:tcPr>
          <w:p>
            <w:r>
              <w:rPr>
                <w:rFonts w:ascii="Aptos" w:hAnsi="Aptos"/>
                <w:b/>
                <w:color w:val="FFFFFF"/>
                <w:sz w:val="18"/>
              </w:rPr>
              <w:t>How I will apply it next time</w:t>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bl>
    <w:p>
      <w:pPr>
        <w:pStyle w:val="Heading1"/>
        <w:shd w:fill="156082" w:val="clear"/>
      </w:pPr>
      <w:r>
        <w:t>Reflection and completion prompts</w:t>
      </w:r>
    </w:p>
    <w:p>
      <w:pPr>
        <w:pStyle w:val="ListBullet"/>
        <w:spacing w:after="120"/>
        <w:ind w:left="720" w:hanging="360"/>
      </w:pPr>
      <w:r>
        <w:t>Describe the moment you first noticed the interaction was no longer stable.</w:t>
      </w:r>
    </w:p>
    <w:p>
      <w:pPr>
        <w:pStyle w:val="ListBullet"/>
        <w:spacing w:after="120"/>
        <w:ind w:left="720" w:hanging="360"/>
      </w:pPr>
      <w:r>
        <w:t>What repair step would have improved dignity or trust after the immediate tension lowered?</w:t>
      </w:r>
    </w:p>
    <w:p>
      <w:pPr>
        <w:pStyle w:val="ListBullet"/>
        <w:spacing w:after="120"/>
        <w:ind w:left="720" w:hanging="360"/>
      </w:pPr>
      <w:r>
        <w:t>How will you recognize that an interaction has actually recovered instead of merely paused?</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Interaction repair reflection worksheet</dc:title>
  <dc:subject>Module 5 — Professional Communication and Relational Practice — De-escalation, repair, and service recovery</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