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Limited-duty planning worksheet</w:t>
      </w:r>
    </w:p>
    <w:p>
      <w:pPr>
        <w:spacing w:before="0" w:after="200"/>
      </w:pPr>
      <w:r>
        <w:rPr>
          <w:b/>
        </w:rPr>
        <w:t>Module 8 — Readiness States, Milestones, and Release-to-Duty Controls</w:t>
        <w:br/>
      </w:r>
      <w:r>
        <w:t>Section 3 — Supervised practice and limited-duty controls</w:t>
        <w:br/>
      </w:r>
      <w:r>
        <w:t>Prepared for Adolbi Care — Behavioral Health Center at Cypress</w:t>
        <w:br/>
      </w:r>
      <w:r>
        <w:t>Authored by AMOS I</w:t>
      </w:r>
    </w:p>
    <w:p>
      <w:pPr>
        <w:pStyle w:val="Heading1"/>
        <w:shd w:fill="156082" w:val="clear"/>
      </w:pPr>
      <w:r>
        <w:t>Document purpose</w:t>
      </w:r>
    </w:p>
    <w:p>
      <w:r>
        <w:t>This editable worksheet helps teams define a supervised-practice plan, including allowed duties, restrictions, reviewer responsibilities, and evidence expectations.</w:t>
      </w:r>
    </w:p>
    <w:p>
      <w:r>
        <w:t>Use the worksheet when preparing a monitored assignment period for a learner who is progressing toward release but still requires visible controls.</w:t>
      </w:r>
    </w:p>
    <w:p>
      <w:pPr>
        <w:pStyle w:val="Heading1"/>
        <w:shd w:fill="156082" w:val="clear"/>
      </w:pPr>
      <w:r>
        <w:t>Section context</w:t>
      </w:r>
    </w:p>
    <w:p>
      <w:r>
        <w:t>This section shows how learners can participate in work under observation, limited scope, and monitored assignments without being treated as fully released.</w:t>
      </w:r>
    </w:p>
    <w:p>
      <w:r>
        <w:t>Teach the logic of partial activation so supervisors can structure supervised practice safely while keeping scope restrictions explicit.</w:t>
      </w:r>
    </w:p>
    <w:p>
      <w:pPr>
        <w:pStyle w:val="Heading2"/>
        <w:shd w:fill="C1E4F5" w:val="clear"/>
      </w:pPr>
      <w:r>
        <w:t>Why this section matters</w:t>
      </w:r>
    </w:p>
    <w:p>
      <w:r>
        <w:t>Not every readiness stage requires a learner to remain completely removed from operational activity. In many cases, the safest path is supervised practice: the learner begins performing selected duties in context while a reviewer watches, limits scope, and captures evidence.</w:t>
      </w:r>
    </w:p>
    <w:p>
      <w:r>
        <w:t>The danger appears when supervised practice is mistaken for full release. A learner who participates in duties under monitoring may still be blocked from independent decisions, from high-risk assignments, or from tasks outside the boundaries of the practice plan.</w:t>
      </w:r>
    </w:p>
    <w:p>
      <w:r>
        <w:t>This section teaches limited-duty control as an intentional design choice. The organization decides what the learner may do, what remains restricted, who must supervise the work, and what evidence will determine whether the learner can move toward release.</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Participation can be partial</w:t>
            </w:r>
          </w:p>
        </w:tc>
        <w:tc>
          <w:tcPr>
            <w:tcW w:type="dxa" w:w="4680"/>
          </w:tcPr>
          <w:p>
            <w:pPr>
              <w:spacing w:after="120"/>
            </w:pPr>
            <w:r>
              <w:t>A learner may begin selected tasks before unrestricted activation if the scope and supervision conditions are defined clearly.</w:t>
            </w:r>
          </w:p>
        </w:tc>
      </w:tr>
      <w:tr>
        <w:tc>
          <w:tcPr>
            <w:tcW w:type="dxa" w:w="4680"/>
          </w:tcPr>
          <w:p>
            <w:pPr>
              <w:spacing w:after="120"/>
            </w:pPr>
            <w:r>
              <w:t>Restrictions must stay visible</w:t>
            </w:r>
          </w:p>
        </w:tc>
        <w:tc>
          <w:tcPr>
            <w:tcW w:type="dxa" w:w="4680"/>
          </w:tcPr>
          <w:p>
            <w:pPr>
              <w:spacing w:after="120"/>
            </w:pPr>
            <w:r>
              <w:t>Limited-duty controls should remain explicit in scheduling, supervision notes, and release discussions.</w:t>
            </w:r>
          </w:p>
        </w:tc>
      </w:tr>
      <w:tr>
        <w:tc>
          <w:tcPr>
            <w:tcW w:type="dxa" w:w="4680"/>
          </w:tcPr>
          <w:p>
            <w:pPr>
              <w:spacing w:after="120"/>
            </w:pPr>
            <w:r>
              <w:t>Observation turns practice into evidence</w:t>
            </w:r>
          </w:p>
        </w:tc>
        <w:tc>
          <w:tcPr>
            <w:tcW w:type="dxa" w:w="4680"/>
          </w:tcPr>
          <w:p>
            <w:pPr>
              <w:spacing w:after="120"/>
            </w:pPr>
            <w:r>
              <w:t>Supervised assignments should produce documented observations, not only informal impressions.</w:t>
            </w:r>
          </w:p>
        </w:tc>
      </w:tr>
      <w:tr>
        <w:tc>
          <w:tcPr>
            <w:tcW w:type="dxa" w:w="4680"/>
          </w:tcPr>
          <w:p>
            <w:pPr>
              <w:spacing w:after="120"/>
            </w:pPr>
            <w:r>
              <w:t>High-risk tasks may remain closed</w:t>
            </w:r>
          </w:p>
        </w:tc>
        <w:tc>
          <w:tcPr>
            <w:tcW w:type="dxa" w:w="4680"/>
          </w:tcPr>
          <w:p>
            <w:pPr>
              <w:spacing w:after="120"/>
            </w:pPr>
            <w:r>
              <w:t>Some duties should stay unavailable until stronger evidence and higher-level approval are present.</w:t>
            </w:r>
          </w:p>
        </w:tc>
      </w:tr>
    </w:tbl>
    <w:p>
      <w:pPr>
        <w:pStyle w:val="Heading2"/>
        <w:shd w:fill="C1E4F5" w:val="clear"/>
      </w:pPr>
      <w:r>
        <w:t>Key reminders</w:t>
      </w:r>
    </w:p>
    <w:p>
      <w:pPr>
        <w:pStyle w:val="ListBullet"/>
        <w:spacing w:after="120"/>
        <w:ind w:left="720" w:hanging="360"/>
      </w:pPr>
      <w:r>
        <w:t>Supervised practice allows progress without pretending that full release has already occurred.</w:t>
      </w:r>
    </w:p>
    <w:p>
      <w:pPr>
        <w:pStyle w:val="ListBullet"/>
        <w:spacing w:after="120"/>
        <w:ind w:left="720" w:hanging="360"/>
      </w:pPr>
      <w:r>
        <w:t>Limited-duty controls should define what the learner may do and what remains restricted.</w:t>
      </w:r>
    </w:p>
    <w:p>
      <w:pPr>
        <w:pStyle w:val="ListBullet"/>
        <w:spacing w:after="120"/>
        <w:ind w:left="720" w:hanging="360"/>
      </w:pPr>
      <w:r>
        <w:t>Observation notes from supervised practice become part of the release evidence package.</w:t>
      </w:r>
    </w:p>
    <w:p>
      <w:r>
        <w:t>This lesson protects the middle ground between training and release by making partial activation purposeful, visible, and evidence-driven rather than accidental or hidden.</w:t>
      </w:r>
    </w:p>
    <w:p>
      <w:pPr>
        <w:pStyle w:val="Heading1"/>
        <w:shd w:fill="156082" w:val="clear"/>
      </w:pPr>
      <w:r>
        <w:t>Instructions</w:t>
      </w:r>
    </w:p>
    <w:p>
      <w:pPr>
        <w:pStyle w:val="ListBullet"/>
        <w:spacing w:after="120"/>
        <w:ind w:left="720" w:hanging="360"/>
      </w:pPr>
      <w:r>
        <w:t>Select one learner and one upcoming supervised-practice window or assignment period.</w:t>
      </w:r>
    </w:p>
    <w:p>
      <w:pPr>
        <w:pStyle w:val="ListBullet"/>
        <w:spacing w:after="120"/>
        <w:ind w:left="720" w:hanging="360"/>
      </w:pPr>
      <w:r>
        <w:t>List the duties that are permitted, the duties that remain restricted, and the person responsible for supervision.</w:t>
      </w:r>
    </w:p>
    <w:p>
      <w:pPr>
        <w:pStyle w:val="ListBullet"/>
        <w:spacing w:after="120"/>
        <w:ind w:left="720" w:hanging="360"/>
      </w:pPr>
      <w:r>
        <w:t>Document what evidence will be collected before any expansion of scope is considered.</w:t>
      </w:r>
    </w:p>
    <w:p>
      <w:pPr>
        <w:pStyle w:val="Heading1"/>
        <w:shd w:fill="156082" w:val="clear"/>
      </w:pPr>
      <w:r>
        <w:t>Worksheet and record fields</w:t>
      </w:r>
    </w:p>
    <w:p>
      <w:pPr>
        <w:pStyle w:val="Heading3"/>
      </w:pPr>
      <w:r>
        <w:t>Supervised-practice plan</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fill="0A2F40" w:val="clear"/>
          </w:tcPr>
          <w:p>
            <w:r>
              <w:rPr>
                <w:rFonts w:ascii="Aptos" w:hAnsi="Aptos"/>
                <w:b/>
                <w:color w:val="FFFFFF"/>
                <w:sz w:val="18"/>
              </w:rPr>
              <w:t>Learner</w:t>
            </w:r>
          </w:p>
        </w:tc>
        <w:tc>
          <w:tcPr>
            <w:tcW w:type="dxa" w:w="1872"/>
            <w:shd w:fill="0A2F40" w:val="clear"/>
          </w:tcPr>
          <w:p>
            <w:r>
              <w:rPr>
                <w:rFonts w:ascii="Aptos" w:hAnsi="Aptos"/>
                <w:b/>
                <w:color w:val="FFFFFF"/>
                <w:sz w:val="18"/>
              </w:rPr>
              <w:t>Practice period</w:t>
            </w:r>
          </w:p>
        </w:tc>
        <w:tc>
          <w:tcPr>
            <w:tcW w:type="dxa" w:w="1872"/>
            <w:shd w:fill="0A2F40" w:val="clear"/>
          </w:tcPr>
          <w:p>
            <w:r>
              <w:rPr>
                <w:rFonts w:ascii="Aptos" w:hAnsi="Aptos"/>
                <w:b/>
                <w:color w:val="FFFFFF"/>
                <w:sz w:val="18"/>
              </w:rPr>
              <w:t>Allowed duties</w:t>
            </w:r>
          </w:p>
        </w:tc>
        <w:tc>
          <w:tcPr>
            <w:tcW w:type="dxa" w:w="1872"/>
            <w:shd w:fill="0A2F40" w:val="clear"/>
          </w:tcPr>
          <w:p>
            <w:r>
              <w:rPr>
                <w:rFonts w:ascii="Aptos" w:hAnsi="Aptos"/>
                <w:b/>
                <w:color w:val="FFFFFF"/>
                <w:sz w:val="18"/>
              </w:rPr>
              <w:t>Restricted duties</w:t>
            </w:r>
          </w:p>
        </w:tc>
        <w:tc>
          <w:tcPr>
            <w:tcW w:type="dxa" w:w="1872"/>
            <w:shd w:fill="0A2F40" w:val="clear"/>
          </w:tcPr>
          <w:p>
            <w:r>
              <w:rPr>
                <w:rFonts w:ascii="Aptos" w:hAnsi="Aptos"/>
                <w:b/>
                <w:color w:val="FFFFFF"/>
                <w:sz w:val="18"/>
              </w:rPr>
              <w:t>Supervisor or reviewer</w:t>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bl>
    <w:p>
      <w:pPr>
        <w:pStyle w:val="Heading3"/>
      </w:pPr>
      <w:r>
        <w:t>Evidence and review notes</w:t>
      </w:r>
    </w:p>
    <w:tbl>
      <w:tblPr>
        <w:tblStyle w:val="TableGrid"/>
        <w:tblW w:type="auto" w:w="0"/>
        <w:jc w:val="left"/>
        <w:tblLook w:firstColumn="1" w:firstRow="1" w:lastColumn="0" w:lastRow="0" w:noHBand="0" w:noVBand="1" w:val="04A0"/>
      </w:tblPr>
      <w:tblGrid>
        <w:gridCol w:w="2340"/>
        <w:gridCol w:w="2340"/>
        <w:gridCol w:w="2340"/>
        <w:gridCol w:w="2340"/>
      </w:tblGrid>
      <w:tr>
        <w:tc>
          <w:tcPr>
            <w:tcW w:type="dxa" w:w="2340"/>
            <w:shd w:fill="0A2F40" w:val="clear"/>
          </w:tcPr>
          <w:p>
            <w:r>
              <w:rPr>
                <w:rFonts w:ascii="Aptos" w:hAnsi="Aptos"/>
                <w:b/>
                <w:color w:val="FFFFFF"/>
                <w:sz w:val="18"/>
              </w:rPr>
              <w:t>Evidence expected</w:t>
            </w:r>
          </w:p>
        </w:tc>
        <w:tc>
          <w:tcPr>
            <w:tcW w:type="dxa" w:w="2340"/>
            <w:shd w:fill="0A2F40" w:val="clear"/>
          </w:tcPr>
          <w:p>
            <w:r>
              <w:rPr>
                <w:rFonts w:ascii="Aptos" w:hAnsi="Aptos"/>
                <w:b/>
                <w:color w:val="FFFFFF"/>
                <w:sz w:val="18"/>
              </w:rPr>
              <w:t>Observation method</w:t>
            </w:r>
          </w:p>
        </w:tc>
        <w:tc>
          <w:tcPr>
            <w:tcW w:type="dxa" w:w="2340"/>
            <w:shd w:fill="0A2F40" w:val="clear"/>
          </w:tcPr>
          <w:p>
            <w:r>
              <w:rPr>
                <w:rFonts w:ascii="Aptos" w:hAnsi="Aptos"/>
                <w:b/>
                <w:color w:val="FFFFFF"/>
                <w:sz w:val="18"/>
              </w:rPr>
              <w:t>Risk if unmet</w:t>
            </w:r>
          </w:p>
        </w:tc>
        <w:tc>
          <w:tcPr>
            <w:tcW w:type="dxa" w:w="2340"/>
            <w:shd w:fill="0A2F40" w:val="clear"/>
          </w:tcPr>
          <w:p>
            <w:r>
              <w:rPr>
                <w:rFonts w:ascii="Aptos" w:hAnsi="Aptos"/>
                <w:b/>
                <w:color w:val="FFFFFF"/>
                <w:sz w:val="18"/>
              </w:rPr>
              <w:t>Next review point</w:t>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r>
        <w:tc>
          <w:tcPr>
            <w:tcW w:type="dxa" w:w="2340"/>
          </w:tcPr>
          <w:p>
            <w:pPr>
              <w:spacing w:after="120"/>
            </w:pPr>
            <w:r/>
          </w:p>
        </w:tc>
        <w:tc>
          <w:tcPr>
            <w:tcW w:type="dxa" w:w="2340"/>
          </w:tcPr>
          <w:p>
            <w:pPr>
              <w:spacing w:after="120"/>
            </w:pPr>
            <w:r/>
          </w:p>
        </w:tc>
        <w:tc>
          <w:tcPr>
            <w:tcW w:type="dxa" w:w="2340"/>
          </w:tcPr>
          <w:p>
            <w:pPr>
              <w:spacing w:after="120"/>
            </w:pPr>
            <w:r/>
          </w:p>
        </w:tc>
        <w:tc>
          <w:tcPr>
            <w:tcW w:type="dxa" w:w="2340"/>
          </w:tcPr>
          <w:p>
            <w:pPr>
              <w:spacing w:after="120"/>
            </w:pPr>
            <w:r/>
          </w:p>
        </w:tc>
      </w:tr>
    </w:tbl>
    <w:p>
      <w:pPr>
        <w:pStyle w:val="Heading1"/>
        <w:shd w:fill="156082" w:val="clear"/>
      </w:pPr>
      <w:r>
        <w:t>Reflection and completion prompts</w:t>
      </w:r>
    </w:p>
    <w:p>
      <w:pPr>
        <w:pStyle w:val="ListBullet"/>
        <w:spacing w:after="120"/>
        <w:ind w:left="720" w:hanging="360"/>
      </w:pPr>
      <w:r>
        <w:t>What is the narrowest safe scope for this learner’s next practice step?</w:t>
      </w:r>
    </w:p>
    <w:p>
      <w:pPr>
        <w:pStyle w:val="ListBullet"/>
        <w:spacing w:after="120"/>
        <w:ind w:left="720" w:hanging="360"/>
      </w:pPr>
      <w:r>
        <w:t>Which restriction must not be relaxed yet, even if the learner appears confident?</w:t>
      </w:r>
    </w:p>
    <w:p>
      <w:pPr>
        <w:pStyle w:val="ListBullet"/>
        <w:spacing w:after="120"/>
        <w:ind w:left="720" w:hanging="360"/>
      </w:pPr>
      <w:r>
        <w:t>How will the supervisor show whether the monitored period supports advancement?</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Limited-duty planning worksheet</dc:title>
  <dc:subject>Module 8 — Readiness States, Milestones, and Release-to-Duty Controls — Supervised practice and limited-duty controls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