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Milestone gate review worksheet</w:t>
      </w:r>
    </w:p>
    <w:p>
      <w:pPr>
        <w:spacing w:before="0" w:after="200"/>
      </w:pPr>
      <w:r>
        <w:rPr>
          <w:b/>
        </w:rPr>
        <w:t>Module 8 — Readiness States, Milestones, and Release-to-Duty Controls</w:t>
        <w:br/>
      </w:r>
      <w:r>
        <w:t>Section 2 — Milestone logic and readiness gates</w:t>
        <w:br/>
      </w:r>
      <w:r>
        <w:t>Prepared for Adolbi Care — Behavioral Health Center at Cypress</w:t>
        <w:br/>
      </w:r>
      <w:r>
        <w:t>Authored by AMOS I</w:t>
      </w:r>
    </w:p>
    <w:p>
      <w:pPr>
        <w:pStyle w:val="Heading1"/>
        <w:shd w:fill="156082" w:val="clear"/>
      </w:pPr>
      <w:r>
        <w:t>Document purpose</w:t>
      </w:r>
    </w:p>
    <w:p>
      <w:r>
        <w:t>This editable worksheet helps reviewers define one readiness gate, the evidence it requires, and the conditions that must block advancement if they remain unresolved.</w:t>
      </w:r>
    </w:p>
    <w:p>
      <w:r>
        <w:t>Use the worksheet in supervisor training, readiness review, or quality meetings to strengthen gate design and document why advancement is granted or delayed.</w:t>
      </w:r>
    </w:p>
    <w:p>
      <w:pPr>
        <w:pStyle w:val="Heading1"/>
        <w:shd w:fill="156082" w:val="clear"/>
      </w:pPr>
      <w:r>
        <w:t>Section context</w:t>
      </w:r>
    </w:p>
    <w:p>
      <w:r>
        <w:t>This section explains how milestones and gates control progression between readiness states so advancement happens only after required conditions have been satisfied.</w:t>
      </w:r>
    </w:p>
    <w:p>
      <w:r>
        <w:t>Show learners and reviewers how milestone logic converts readiness progression into a disciplined gate-based process rather than an informal judgment call.</w:t>
      </w:r>
    </w:p>
    <w:p>
      <w:pPr>
        <w:pStyle w:val="Heading2"/>
        <w:shd w:fill="C1E4F5" w:val="clear"/>
      </w:pPr>
      <w:r>
        <w:t>Why this section matters</w:t>
      </w:r>
    </w:p>
    <w:p>
      <w:r>
        <w:t>Once the readiness states are visible, the next question is how movement occurs between them. Module 8 uses milestone logic to answer that question. A milestone marks a meaningful progress point, and a readiness gate determines whether the learner can move forward into the next state.</w:t>
      </w:r>
    </w:p>
    <w:p>
      <w:r>
        <w:t>Gates matter because progress should not depend on optimism, staffing pressure, or verbal reassurance alone. They require teams to specify what must be complete before advancement happens, which evidence counts, and who has the authority to review the result.</w:t>
      </w:r>
    </w:p>
    <w:p>
      <w:r>
        <w:t>This section encourages a disciplined posture: if the milestone has not been reached, the state does not change. That structure protects the learner, the residents, and the organization from premature activation.</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Milestones describe progress</w:t>
            </w:r>
          </w:p>
        </w:tc>
        <w:tc>
          <w:tcPr>
            <w:tcW w:type="dxa" w:w="4680"/>
          </w:tcPr>
          <w:p>
            <w:pPr>
              <w:spacing w:after="120"/>
            </w:pPr>
            <w:r>
              <w:t>Each milestone names a meaningful completion point such as orientation finished, competency verified, or supervised practice completed.</w:t>
            </w:r>
          </w:p>
        </w:tc>
      </w:tr>
      <w:tr>
        <w:tc>
          <w:tcPr>
            <w:tcW w:type="dxa" w:w="4680"/>
          </w:tcPr>
          <w:p>
            <w:pPr>
              <w:spacing w:after="120"/>
            </w:pPr>
            <w:r>
              <w:t>Gates control advancement</w:t>
            </w:r>
          </w:p>
        </w:tc>
        <w:tc>
          <w:tcPr>
            <w:tcW w:type="dxa" w:w="4680"/>
          </w:tcPr>
          <w:p>
            <w:pPr>
              <w:spacing w:after="120"/>
            </w:pPr>
            <w:r>
              <w:t>The next readiness state opens only when the required evidence, approvals, and conditions have been reviewed.</w:t>
            </w:r>
          </w:p>
        </w:tc>
      </w:tr>
      <w:tr>
        <w:tc>
          <w:tcPr>
            <w:tcW w:type="dxa" w:w="4680"/>
          </w:tcPr>
          <w:p>
            <w:pPr>
              <w:spacing w:after="120"/>
            </w:pPr>
            <w:r>
              <w:t>Evidence must be named in advance</w:t>
            </w:r>
          </w:p>
        </w:tc>
        <w:tc>
          <w:tcPr>
            <w:tcW w:type="dxa" w:w="4680"/>
          </w:tcPr>
          <w:p>
            <w:pPr>
              <w:spacing w:after="120"/>
            </w:pPr>
            <w:r>
              <w:t>Reviewers should know what proof counts before the learner reaches the gate, not after a decision is already being debated.</w:t>
            </w:r>
          </w:p>
        </w:tc>
      </w:tr>
      <w:tr>
        <w:tc>
          <w:tcPr>
            <w:tcW w:type="dxa" w:w="4680"/>
          </w:tcPr>
          <w:p>
            <w:pPr>
              <w:spacing w:after="120"/>
            </w:pPr>
            <w:r>
              <w:t>Authority must be explicit</w:t>
            </w:r>
          </w:p>
        </w:tc>
        <w:tc>
          <w:tcPr>
            <w:tcW w:type="dxa" w:w="4680"/>
          </w:tcPr>
          <w:p>
            <w:pPr>
              <w:spacing w:after="120"/>
            </w:pPr>
            <w:r>
              <w:t>Not every reviewer can approve every gate; some transitions require higher-level sign-off or role-family specific review.</w:t>
            </w:r>
          </w:p>
        </w:tc>
      </w:tr>
    </w:tbl>
    <w:p>
      <w:pPr>
        <w:pStyle w:val="Heading2"/>
        <w:shd w:fill="C1E4F5" w:val="clear"/>
      </w:pPr>
      <w:r>
        <w:t>Key reminders</w:t>
      </w:r>
    </w:p>
    <w:p>
      <w:pPr>
        <w:pStyle w:val="ListBullet"/>
        <w:spacing w:after="120"/>
        <w:ind w:left="720" w:hanging="360"/>
      </w:pPr>
      <w:r>
        <w:t>Milestones mark progress, but gates decide whether the learner can advance.</w:t>
      </w:r>
    </w:p>
    <w:p>
      <w:pPr>
        <w:pStyle w:val="ListBullet"/>
        <w:spacing w:after="120"/>
        <w:ind w:left="720" w:hanging="360"/>
      </w:pPr>
      <w:r>
        <w:t>Readiness progression should depend on pre-defined evidence, not informal confidence.</w:t>
      </w:r>
    </w:p>
    <w:p>
      <w:pPr>
        <w:pStyle w:val="ListBullet"/>
        <w:spacing w:after="120"/>
        <w:ind w:left="720" w:hanging="360"/>
      </w:pPr>
      <w:r>
        <w:t>Authority to open the next state must remain visible and documented.</w:t>
      </w:r>
    </w:p>
    <w:p>
      <w:r>
        <w:t>A milestone without a gate becomes a celebration without control. This lesson keeps progress meaningful by tying each milestone to a real approval standard.</w:t>
      </w:r>
    </w:p>
    <w:p>
      <w:pPr>
        <w:pStyle w:val="Heading1"/>
        <w:shd w:fill="156082" w:val="clear"/>
      </w:pPr>
      <w:r>
        <w:t>Instructions</w:t>
      </w:r>
    </w:p>
    <w:p>
      <w:pPr>
        <w:pStyle w:val="ListBullet"/>
        <w:spacing w:after="120"/>
        <w:ind w:left="720" w:hanging="360"/>
      </w:pPr>
      <w:r>
        <w:t>Choose one real gate such as pathway release, supervised-practice completion, or final release authorization.</w:t>
      </w:r>
    </w:p>
    <w:p>
      <w:pPr>
        <w:pStyle w:val="ListBullet"/>
        <w:spacing w:after="120"/>
        <w:ind w:left="720" w:hanging="360"/>
      </w:pPr>
      <w:r>
        <w:t>List the exact evidence that must be reviewed before the gate can open.</w:t>
      </w:r>
    </w:p>
    <w:p>
      <w:pPr>
        <w:pStyle w:val="ListBullet"/>
        <w:spacing w:after="120"/>
        <w:ind w:left="720" w:hanging="360"/>
      </w:pPr>
      <w:r>
        <w:t>Document what unresolved item would require the learner to remain in the current state.</w:t>
      </w:r>
    </w:p>
    <w:p>
      <w:pPr>
        <w:pStyle w:val="Heading1"/>
        <w:shd w:fill="156082" w:val="clear"/>
      </w:pPr>
      <w:r>
        <w:t>Worksheet and record fields</w:t>
      </w:r>
    </w:p>
    <w:p>
      <w:pPr>
        <w:pStyle w:val="Heading3"/>
      </w:pPr>
      <w:r>
        <w:t>Gate definition table</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Gate name</w:t>
            </w:r>
          </w:p>
        </w:tc>
        <w:tc>
          <w:tcPr>
            <w:tcW w:type="dxa" w:w="2340"/>
            <w:shd w:fill="0A2F40" w:val="clear"/>
          </w:tcPr>
          <w:p>
            <w:r>
              <w:rPr>
                <w:rFonts w:ascii="Aptos" w:hAnsi="Aptos"/>
                <w:b/>
                <w:color w:val="FFFFFF"/>
                <w:sz w:val="18"/>
              </w:rPr>
              <w:t>Milestone that triggers review</w:t>
            </w:r>
          </w:p>
        </w:tc>
        <w:tc>
          <w:tcPr>
            <w:tcW w:type="dxa" w:w="2340"/>
            <w:shd w:fill="0A2F40" w:val="clear"/>
          </w:tcPr>
          <w:p>
            <w:r>
              <w:rPr>
                <w:rFonts w:ascii="Aptos" w:hAnsi="Aptos"/>
                <w:b/>
                <w:color w:val="FFFFFF"/>
                <w:sz w:val="18"/>
              </w:rPr>
              <w:t>Evidence required</w:t>
            </w:r>
          </w:p>
        </w:tc>
        <w:tc>
          <w:tcPr>
            <w:tcW w:type="dxa" w:w="2340"/>
            <w:shd w:fill="0A2F40" w:val="clear"/>
          </w:tcPr>
          <w:p>
            <w:r>
              <w:rPr>
                <w:rFonts w:ascii="Aptos" w:hAnsi="Aptos"/>
                <w:b/>
                <w:color w:val="FFFFFF"/>
                <w:sz w:val="18"/>
              </w:rPr>
              <w:t>Decision authority</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Blocked advancement notes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Missing or weak item</w:t>
            </w:r>
          </w:p>
        </w:tc>
        <w:tc>
          <w:tcPr>
            <w:tcW w:type="dxa" w:w="2340"/>
            <w:shd w:fill="0A2F40" w:val="clear"/>
          </w:tcPr>
          <w:p>
            <w:r>
              <w:rPr>
                <w:rFonts w:ascii="Aptos" w:hAnsi="Aptos"/>
                <w:b/>
                <w:color w:val="FFFFFF"/>
                <w:sz w:val="18"/>
              </w:rPr>
              <w:t>Risk created</w:t>
            </w:r>
          </w:p>
        </w:tc>
        <w:tc>
          <w:tcPr>
            <w:tcW w:type="dxa" w:w="2340"/>
            <w:shd w:fill="0A2F40" w:val="clear"/>
          </w:tcPr>
          <w:p>
            <w:r>
              <w:rPr>
                <w:rFonts w:ascii="Aptos" w:hAnsi="Aptos"/>
                <w:b/>
                <w:color w:val="FFFFFF"/>
                <w:sz w:val="18"/>
              </w:rPr>
              <w:t>Required corrective step</w:t>
            </w:r>
          </w:p>
        </w:tc>
        <w:tc>
          <w:tcPr>
            <w:tcW w:type="dxa" w:w="2340"/>
            <w:shd w:fill="0A2F40" w:val="clear"/>
          </w:tcPr>
          <w:p>
            <w:r>
              <w:rPr>
                <w:rFonts w:ascii="Aptos" w:hAnsi="Aptos"/>
                <w:b/>
                <w:color w:val="FFFFFF"/>
                <w:sz w:val="18"/>
              </w:rPr>
              <w:t>Next review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would make this gate easier to explain and defend?</w:t>
      </w:r>
    </w:p>
    <w:p>
      <w:pPr>
        <w:pStyle w:val="ListBullet"/>
        <w:spacing w:after="120"/>
        <w:ind w:left="720" w:hanging="360"/>
      </w:pPr>
      <w:r>
        <w:t>Which evidence item is most often assumed rather than checked?</w:t>
      </w:r>
    </w:p>
    <w:p>
      <w:pPr>
        <w:pStyle w:val="ListBullet"/>
        <w:spacing w:after="120"/>
        <w:ind w:left="720" w:hanging="360"/>
      </w:pPr>
      <w:r>
        <w:t>How will the learner know exactly what remains before advancement is reconsidered?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Milestone gate review worksheet</dc:title>
  <dc:subject>Module 8 — Readiness States, Milestones, and Release-to-Duty Controls — Milestone logic and readiness gates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