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before="120" w:after="160"/>
        <w:jc w:val="center"/>
      </w:pPr>
      <w:r>
        <w:t>Orientation completion note template</w:t>
      </w:r>
    </w:p>
    <w:tbl>
      <w:tblPr>
        <w:tblStyle w:val="TableGrid"/>
        <w:tblW w:type="auto" w:w="0"/>
        <w:jc w:val="center"/>
        <w:tblLayout w:type="fixed"/>
        <w:tblLook w:firstColumn="1" w:firstRow="1" w:lastColumn="0" w:lastRow="0" w:noHBand="0" w:noVBand="1" w:val="04A0"/>
      </w:tblPr>
      <w:tblGrid>
        <w:gridCol w:w="4896"/>
        <w:gridCol w:w="4896"/>
      </w:tblGrid>
      <w:tr>
        <w:tc>
          <w:tcPr>
            <w:tcW w:type="dxa" w:w="2232"/>
            <w:vAlign w:val="center"/>
            <w:tcMar>
              <w:top w:w="40" w:type="dxa"/>
              <w:start w:w="55" w:type="dxa"/>
              <w:bottom w:w="40" w:type="dxa"/>
              <w:end w:w="55" w:type="dxa"/>
            </w:tcMar>
            <w:shd w:fill="C1E4F5" w:val="clear"/>
          </w:tcPr>
          <w:p>
            <w:pPr>
              <w:spacing w:after="0" w:line="240" w:lineRule="auto"/>
            </w:pPr>
            <w:r>
              <w:rPr>
                <w:rFonts w:ascii="Aptos" w:hAnsi="Aptos"/>
                <w:sz w:val="18"/>
              </w:rPr>
              <w:t>Module</w:t>
            </w:r>
          </w:p>
        </w:tc>
        <w:tc>
          <w:tcPr>
            <w:tcW w:type="dxa" w:w="6768"/>
            <w:vAlign w:val="center"/>
            <w:tcMar>
              <w:top w:w="40" w:type="dxa"/>
              <w:start w:w="55" w:type="dxa"/>
              <w:bottom w:w="40" w:type="dxa"/>
              <w:end w:w="55" w:type="dxa"/>
            </w:tcMar>
          </w:tcPr>
          <w:p>
            <w:pPr>
              <w:spacing w:after="0" w:line="240" w:lineRule="auto"/>
            </w:pPr>
            <w:r>
              <w:rPr>
                <w:rFonts w:ascii="Aptos" w:hAnsi="Aptos"/>
                <w:sz w:val="18"/>
              </w:rPr>
              <w:t>Module 1: Enterprise and System-of-Care Orientation</w:t>
            </w:r>
          </w:p>
        </w:tc>
      </w:tr>
      <w:tr>
        <w:tc>
          <w:tcPr>
            <w:tcW w:type="dxa" w:w="2232"/>
            <w:vAlign w:val="center"/>
            <w:tcMar>
              <w:top w:w="40" w:type="dxa"/>
              <w:start w:w="55" w:type="dxa"/>
              <w:bottom w:w="40" w:type="dxa"/>
              <w:end w:w="55" w:type="dxa"/>
            </w:tcMar>
            <w:shd w:fill="C1E4F5" w:val="clear"/>
          </w:tcPr>
          <w:p>
            <w:pPr>
              <w:spacing w:after="0" w:line="240" w:lineRule="auto"/>
            </w:pPr>
            <w:r>
              <w:rPr>
                <w:rFonts w:ascii="Aptos" w:hAnsi="Aptos"/>
                <w:sz w:val="18"/>
              </w:rPr>
              <w:t>Section</w:t>
            </w:r>
          </w:p>
        </w:tc>
        <w:tc>
          <w:tcPr>
            <w:tcW w:type="dxa" w:w="6768"/>
            <w:vAlign w:val="center"/>
            <w:tcMar>
              <w:top w:w="40" w:type="dxa"/>
              <w:start w:w="55" w:type="dxa"/>
              <w:bottom w:w="40" w:type="dxa"/>
              <w:end w:w="55" w:type="dxa"/>
            </w:tcMar>
          </w:tcPr>
          <w:p>
            <w:pPr>
              <w:spacing w:after="0" w:line="240" w:lineRule="auto"/>
            </w:pPr>
            <w:r>
              <w:rPr>
                <w:rFonts w:ascii="Aptos" w:hAnsi="Aptos"/>
                <w:sz w:val="18"/>
              </w:rPr>
              <w:t>Section 1 — Course map and learning orientation</w:t>
            </w:r>
          </w:p>
        </w:tc>
      </w:tr>
      <w:tr>
        <w:tc>
          <w:tcPr>
            <w:tcW w:type="dxa" w:w="2232"/>
            <w:vAlign w:val="center"/>
            <w:tcMar>
              <w:top w:w="40" w:type="dxa"/>
              <w:start w:w="55" w:type="dxa"/>
              <w:bottom w:w="40" w:type="dxa"/>
              <w:end w:w="55" w:type="dxa"/>
            </w:tcMar>
            <w:shd w:fill="C1E4F5" w:val="clear"/>
          </w:tcPr>
          <w:p>
            <w:pPr>
              <w:spacing w:after="0" w:line="240" w:lineRule="auto"/>
            </w:pPr>
            <w:r>
              <w:rPr>
                <w:rFonts w:ascii="Aptos" w:hAnsi="Aptos"/>
                <w:sz w:val="18"/>
              </w:rPr>
              <w:t>Document type</w:t>
            </w:r>
          </w:p>
        </w:tc>
        <w:tc>
          <w:tcPr>
            <w:tcW w:type="dxa" w:w="6768"/>
            <w:vAlign w:val="center"/>
            <w:tcMar>
              <w:top w:w="40" w:type="dxa"/>
              <w:start w:w="55" w:type="dxa"/>
              <w:bottom w:w="40" w:type="dxa"/>
              <w:end w:w="55" w:type="dxa"/>
            </w:tcMar>
          </w:tcPr>
          <w:p>
            <w:pPr>
              <w:spacing w:after="0" w:line="240" w:lineRule="auto"/>
            </w:pPr>
            <w:r>
              <w:rPr>
                <w:rFonts w:ascii="Aptos" w:hAnsi="Aptos"/>
                <w:sz w:val="18"/>
              </w:rPr>
              <w:t>DOCX template</w:t>
            </w:r>
          </w:p>
        </w:tc>
      </w:tr>
      <w:tr>
        <w:tc>
          <w:tcPr>
            <w:tcW w:type="dxa" w:w="2232"/>
            <w:vAlign w:val="center"/>
            <w:tcMar>
              <w:top w:w="40" w:type="dxa"/>
              <w:start w:w="55" w:type="dxa"/>
              <w:bottom w:w="40" w:type="dxa"/>
              <w:end w:w="55" w:type="dxa"/>
            </w:tcMar>
            <w:shd w:fill="C1E4F5" w:val="clear"/>
          </w:tcPr>
          <w:p>
            <w:pPr>
              <w:spacing w:after="0" w:line="240" w:lineRule="auto"/>
            </w:pPr>
            <w:r>
              <w:rPr>
                <w:rFonts w:ascii="Aptos" w:hAnsi="Aptos"/>
                <w:sz w:val="18"/>
              </w:rPr>
              <w:t>Authored by</w:t>
            </w:r>
          </w:p>
        </w:tc>
        <w:tc>
          <w:tcPr>
            <w:tcW w:type="dxa" w:w="6768"/>
            <w:vAlign w:val="center"/>
            <w:tcMar>
              <w:top w:w="40" w:type="dxa"/>
              <w:start w:w="55" w:type="dxa"/>
              <w:bottom w:w="40" w:type="dxa"/>
              <w:end w:w="55" w:type="dxa"/>
            </w:tcMar>
          </w:tcPr>
          <w:p>
            <w:pPr>
              <w:spacing w:after="0" w:line="240" w:lineRule="auto"/>
            </w:pPr>
            <w:r>
              <w:rPr>
                <w:rFonts w:ascii="Aptos" w:hAnsi="Aptos"/>
                <w:sz w:val="18"/>
              </w:rPr>
              <w:t>AMOS I</w:t>
            </w:r>
          </w:p>
        </w:tc>
      </w:tr>
    </w:tbl>
    <w:p/>
    <w:p>
      <w:pPr>
        <w:spacing w:after="160"/>
        <w:jc w:val="center"/>
      </w:pPr>
      <w:r>
        <w:drawing>
          <wp:inline xmlns:a="http://schemas.openxmlformats.org/drawingml/2006/main" xmlns:pic="http://schemas.openxmlformats.org/drawingml/2006/picture">
            <wp:extent cx="4892040" cy="3653048"/>
            <wp:docPr id="1" name="Picture 1"/>
            <wp:cNvGraphicFramePr>
              <a:graphicFrameLocks noChangeAspect="1"/>
            </wp:cNvGraphicFramePr>
            <a:graphic>
              <a:graphicData uri="http://schemas.openxmlformats.org/drawingml/2006/picture">
                <pic:pic>
                  <pic:nvPicPr>
                    <pic:cNvPr id="0" name="course-map.png"/>
                    <pic:cNvPicPr/>
                  </pic:nvPicPr>
                  <pic:blipFill>
                    <a:blip r:embed="rId10"/>
                    <a:stretch>
                      <a:fillRect/>
                    </a:stretch>
                  </pic:blipFill>
                  <pic:spPr>
                    <a:xfrm>
                      <a:off x="0" y="0"/>
                      <a:ext cx="4892040" cy="3653048"/>
                    </a:xfrm>
                    <a:prstGeom prst="rect"/>
                  </pic:spPr>
                </pic:pic>
              </a:graphicData>
            </a:graphic>
          </wp:inline>
        </w:drawing>
      </w:r>
    </w:p>
    <w:p>
      <w:pPr>
        <w:spacing w:after="200"/>
        <w:jc w:val="center"/>
      </w:pPr>
      <w:r>
        <w:rPr>
          <w:rFonts w:ascii="Aptos" w:hAnsi="Aptos"/>
          <w:i/>
          <w:sz w:val="19"/>
        </w:rPr>
        <w:t>Provide an editable completion note that documents learner review of Module 1, confirms the major learning points were discussed, and captures any follow-up needs identified during supervisor review.</w:t>
      </w:r>
    </w:p>
    <w:p>
      <w:pPr>
        <w:pStyle w:val="Heading1"/>
        <w:keepNext/>
        <w:shd w:fill="156082" w:val="clear"/>
      </w:pPr>
      <w:r>
        <w:rPr>
          <w:rFonts w:ascii="Aptos Display" w:hAnsi="Aptos Display"/>
          <w:b/>
          <w:color w:val="FFFFFF"/>
          <w:sz w:val="21"/>
        </w:rPr>
        <w:t>SECTION CONTEXT</w:t>
      </w:r>
    </w:p>
    <w:p>
      <w:r>
        <w:t>Module 1 is the foundation course for the full orientation system. Before staff can apply governance requirements, safety expectations, documentation standards, or workflow routines, they need a clear picture of the environment in which those requirements operate. This module provides that picture by introducing the organizational setting, the service pathway, the people who carry responsibility within the system, and the limits of the residential role.</w:t>
      </w:r>
    </w:p>
    <w:p>
      <w:r>
        <w:t>The purpose of this opening section is not simply to welcome the learner. It is to establish the frame through which every later module should be understood. Staff should leave this section knowing that their daily work is connected to larger structures of leadership, clinical coordination, treatment planning, family communication, compliance expectations, and transition planning. Without that shared frame, later instruction can feel disconnected or overly procedural.</w:t>
      </w:r>
    </w:p>
    <w:p>
      <w:r>
        <w:t>A strong orientation process begins by answering four basic questions. Where does this site fit in the enterprise? Where does residential care fit in the client journey? How do roles connect around the work? What should staff manage directly, and what should they coordinate with others? The remaining sections of Module 1 answer those questions in sequence so learners can build understanding in a logical order.</w:t>
      </w:r>
    </w:p>
    <w:p>
      <w:pPr>
        <w:pStyle w:val="Heading1"/>
        <w:keepNext/>
        <w:shd w:fill="156082" w:val="clear"/>
      </w:pPr>
      <w:r>
        <w:rPr>
          <w:rFonts w:ascii="Aptos Display" w:hAnsi="Aptos Display"/>
          <w:b/>
          <w:color w:val="FFFFFF"/>
          <w:sz w:val="21"/>
        </w:rPr>
        <w:t>HOW TO READ MODULE 1</w:t>
      </w:r>
    </w:p>
    <w:tbl>
      <w:tblPr>
        <w:tblStyle w:val="TableGrid"/>
        <w:tblW w:type="auto" w:w="0"/>
        <w:jc w:val="center"/>
        <w:tblLayout w:type="fixed"/>
        <w:tblLook w:firstColumn="1" w:firstRow="1" w:lastColumn="0" w:lastRow="0" w:noHBand="0" w:noVBand="1" w:val="04A0"/>
      </w:tblPr>
      <w:tblGrid>
        <w:gridCol w:w="4896"/>
        <w:gridCol w:w="4896"/>
      </w:tblGrid>
      <w:tr>
        <w:tc>
          <w:tcPr>
            <w:tcW w:type="dxa" w:w="45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Framework element</w:t>
            </w:r>
          </w:p>
        </w:tc>
        <w:tc>
          <w:tcPr>
            <w:tcW w:type="dxa" w:w="45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Operational meaning</w:t>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Start with context</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t>Understand the enterprise and the residential site as part of a larger operating system rather than as an isolated program.</w:t>
            </w:r>
          </w:p>
        </w:tc>
      </w:tr>
      <w:tr>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Move through the care pathway</w:t>
            </w:r>
          </w:p>
        </w:tc>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See how clients enter, move through, and transition across connected points of service.</w:t>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Clarify responsibility</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t>Learn how leadership, clinical, administrative, and direct-care roles contribute to safe, coordinated services.</w:t>
            </w:r>
          </w:p>
        </w:tc>
      </w:tr>
      <w:tr>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Define boundaries</w:t>
            </w:r>
          </w:p>
        </w:tc>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Identify where residential responsibility is appropriate and when referral, escalation, or coordination is required.</w:t>
            </w:r>
          </w:p>
        </w:tc>
      </w:tr>
    </w:tbl>
    <w:p>
      <w:pPr>
        <w:spacing w:after="60"/>
      </w:pPr>
    </w:p>
    <w:p>
      <w:pPr>
        <w:pStyle w:val="Heading1"/>
        <w:keepNext/>
        <w:shd w:fill="156082" w:val="clear"/>
      </w:pPr>
      <w:r>
        <w:rPr>
          <w:rFonts w:ascii="Aptos Display" w:hAnsi="Aptos Display"/>
          <w:b/>
          <w:color w:val="FFFFFF"/>
          <w:sz w:val="21"/>
        </w:rPr>
        <w:t>KEY LEARNING TAKEAWAYS</w:t>
      </w:r>
    </w:p>
    <w:p>
      <w:pPr>
        <w:pStyle w:val="ListBullet"/>
      </w:pPr>
      <w:r>
        <w:t>State the overall purpose of Module 1 in plain language.</w:t>
      </w:r>
    </w:p>
    <w:p>
      <w:pPr>
        <w:pStyle w:val="ListBullet"/>
      </w:pPr>
      <w:r>
        <w:t>Identify the four major learning questions that structure the course.</w:t>
      </w:r>
    </w:p>
    <w:p>
      <w:pPr>
        <w:pStyle w:val="ListBullet"/>
      </w:pPr>
      <w:r>
        <w:t>Recognize why later modules depend on this shared foundation.</w:t>
      </w:r>
    </w:p>
    <w:p>
      <w:r>
        <w:t>When staff understand the whole system first, later instruction becomes easier to apply. Procedures make more sense when learners know the structure, relationships, and boundaries that sit behind them.</w:t>
      </w:r>
    </w:p>
    <w:p>
      <w:pPr>
        <w:pStyle w:val="Heading1"/>
        <w:keepNext/>
        <w:shd w:fill="156082" w:val="clear"/>
      </w:pPr>
      <w:r>
        <w:rPr>
          <w:rFonts w:ascii="Aptos Display" w:hAnsi="Aptos Display"/>
          <w:b/>
          <w:color w:val="FFFFFF"/>
          <w:sz w:val="21"/>
        </w:rPr>
        <w:t>HOW TO USE THIS TEMPLATE</w:t>
      </w:r>
    </w:p>
    <w:p>
      <w:r>
        <w:t>Use this template after the learner completes the full Module 1 orientation sequence. It is designed to capture participation, learning confirmation, and follow-up items in a format that is easy to update and file.</w:t>
      </w:r>
    </w:p>
    <w:p>
      <w:r>
        <w:t>The note should be completed by the facilitator or supervisor who reviewed the material with the learner. It may be adapted to local documentation practices while preserving the core completion fields and sign-off structure.</w:t>
      </w:r>
    </w:p>
    <w:p>
      <w:pPr>
        <w:pStyle w:val="Heading1"/>
        <w:keepNext/>
        <w:shd w:fill="156082" w:val="clear"/>
      </w:pPr>
      <w:r>
        <w:rPr>
          <w:rFonts w:ascii="Aptos Display" w:hAnsi="Aptos Display"/>
          <w:b/>
          <w:color w:val="FFFFFF"/>
          <w:sz w:val="21"/>
        </w:rPr>
        <w:t>LEARNER AND SESSION DETAILS</w:t>
      </w:r>
    </w:p>
    <w:tbl>
      <w:tblPr>
        <w:tblStyle w:val="TableGrid"/>
        <w:tblW w:type="auto" w:w="0"/>
        <w:jc w:val="center"/>
        <w:tblLayout w:type="fixed"/>
        <w:tblLook w:firstColumn="1" w:firstRow="1" w:lastColumn="0" w:lastRow="0" w:noHBand="0" w:noVBand="1" w:val="04A0"/>
      </w:tblPr>
      <w:tblGrid>
        <w:gridCol w:w="4896"/>
        <w:gridCol w:w="4896"/>
      </w:tblGrid>
      <w:tr>
        <w:tc>
          <w:tcPr>
            <w:tcW w:type="dxa" w:w="45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Field</w:t>
            </w:r>
          </w:p>
        </w:tc>
        <w:tc>
          <w:tcPr>
            <w:tcW w:type="dxa" w:w="45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Entry</w:t>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Learner name</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Position/role</w:t>
            </w:r>
          </w:p>
        </w:tc>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Department or shift</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Orientation date</w:t>
            </w:r>
          </w:p>
        </w:tc>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Reviewer/facilitator</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Location</w:t>
            </w:r>
          </w:p>
        </w:tc>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Adolbi Care — Behavioral Health Center at Cypress</w:t>
            </w:r>
          </w:p>
        </w:tc>
      </w:tr>
    </w:tbl>
    <w:p>
      <w:pPr>
        <w:spacing w:after="60"/>
      </w:pPr>
    </w:p>
    <w:p>
      <w:pPr>
        <w:pStyle w:val="Heading1"/>
        <w:keepNext/>
        <w:shd w:fill="156082" w:val="clear"/>
      </w:pPr>
      <w:r>
        <w:rPr>
          <w:rFonts w:ascii="Aptos Display" w:hAnsi="Aptos Display"/>
          <w:b/>
          <w:color w:val="FFFFFF"/>
          <w:sz w:val="21"/>
        </w:rPr>
        <w:t>SECTION VERIFICATION RECORD</w:t>
      </w:r>
    </w:p>
    <w:tbl>
      <w:tblPr>
        <w:tblStyle w:val="TableGrid"/>
        <w:tblW w:type="auto" w:w="0"/>
        <w:jc w:val="center"/>
        <w:tblLayout w:type="fixed"/>
        <w:tblLook w:firstColumn="1" w:firstRow="1" w:lastColumn="0" w:lastRow="0" w:noHBand="0" w:noVBand="1" w:val="04A0"/>
      </w:tblPr>
      <w:tblGrid>
        <w:gridCol w:w="3264"/>
        <w:gridCol w:w="3264"/>
        <w:gridCol w:w="3264"/>
      </w:tblGrid>
      <w:tr>
        <w:tc>
          <w:tcPr>
            <w:tcW w:type="dxa" w:w="30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Section</w:t>
            </w:r>
          </w:p>
        </w:tc>
        <w:tc>
          <w:tcPr>
            <w:tcW w:type="dxa" w:w="30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Completed</w:t>
            </w:r>
          </w:p>
        </w:tc>
        <w:tc>
          <w:tcPr>
            <w:tcW w:type="dxa" w:w="30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Key understanding demonstrated by learner</w:t>
            </w:r>
          </w:p>
        </w:tc>
      </w:tr>
      <w:tr>
        <w:tc>
          <w:tcPr>
            <w:tcW w:type="dxa" w:w="3000"/>
            <w:vAlign w:val="top"/>
            <w:tcMar>
              <w:top w:w="40" w:type="dxa"/>
              <w:start w:w="60" w:type="dxa"/>
              <w:bottom w:w="40" w:type="dxa"/>
              <w:end w:w="60" w:type="dxa"/>
            </w:tcMar>
          </w:tcPr>
          <w:p>
            <w:pPr>
              <w:spacing w:line="240" w:lineRule="auto" w:after="20"/>
              <w:jc w:val="left"/>
            </w:pPr>
            <w:r>
              <w:rPr>
                <w:rFonts w:ascii="Aptos" w:hAnsi="Aptos"/>
                <w:sz w:val="17"/>
              </w:rPr>
              <w:t>Course map and learning orientation</w:t>
            </w:r>
          </w:p>
        </w:tc>
        <w:tc>
          <w:tcPr>
            <w:tcW w:type="dxa" w:w="3000"/>
            <w:vAlign w:val="top"/>
            <w:tcMar>
              <w:top w:w="40" w:type="dxa"/>
              <w:start w:w="60" w:type="dxa"/>
              <w:bottom w:w="40" w:type="dxa"/>
              <w:end w:w="60" w:type="dxa"/>
            </w:tcMar>
          </w:tcPr>
          <w:p>
            <w:pPr>
              <w:spacing w:line="240" w:lineRule="auto" w:after="20"/>
              <w:jc w:val="left"/>
            </w:pPr>
            <w:r>
              <w:rPr>
                <w:rFonts w:ascii="Aptos" w:hAnsi="Aptos"/>
                <w:sz w:val="17"/>
              </w:rPr>
            </w:r>
          </w:p>
        </w:tc>
        <w:tc>
          <w:tcPr>
            <w:tcW w:type="dxa" w:w="300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3000"/>
            <w:vAlign w:val="top"/>
            <w:tcMar>
              <w:top w:w="40" w:type="dxa"/>
              <w:start w:w="60" w:type="dxa"/>
              <w:bottom w:w="40" w:type="dxa"/>
              <w:end w:w="60" w:type="dxa"/>
            </w:tcMar>
            <w:shd w:fill="F7FBFD" w:val="clear"/>
          </w:tcPr>
          <w:p>
            <w:pPr>
              <w:spacing w:line="240" w:lineRule="auto" w:after="20"/>
              <w:jc w:val="left"/>
            </w:pPr>
            <w:r>
              <w:rPr>
                <w:rFonts w:ascii="Aptos" w:hAnsi="Aptos"/>
                <w:sz w:val="17"/>
              </w:rPr>
              <w:t>How the enterprise is organized</w:t>
            </w:r>
          </w:p>
        </w:tc>
        <w:tc>
          <w:tcPr>
            <w:tcW w:type="dxa" w:w="300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c>
          <w:tcPr>
            <w:tcW w:type="dxa" w:w="300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r>
      <w:tr>
        <w:tc>
          <w:tcPr>
            <w:tcW w:type="dxa" w:w="3000"/>
            <w:vAlign w:val="top"/>
            <w:tcMar>
              <w:top w:w="40" w:type="dxa"/>
              <w:start w:w="60" w:type="dxa"/>
              <w:bottom w:w="40" w:type="dxa"/>
              <w:end w:w="60" w:type="dxa"/>
            </w:tcMar>
          </w:tcPr>
          <w:p>
            <w:pPr>
              <w:spacing w:line="240" w:lineRule="auto" w:after="20"/>
              <w:jc w:val="left"/>
            </w:pPr>
            <w:r>
              <w:rPr>
                <w:rFonts w:ascii="Aptos" w:hAnsi="Aptos"/>
                <w:sz w:val="17"/>
              </w:rPr>
              <w:t>How the system of care works</w:t>
            </w:r>
          </w:p>
        </w:tc>
        <w:tc>
          <w:tcPr>
            <w:tcW w:type="dxa" w:w="3000"/>
            <w:vAlign w:val="top"/>
            <w:tcMar>
              <w:top w:w="40" w:type="dxa"/>
              <w:start w:w="60" w:type="dxa"/>
              <w:bottom w:w="40" w:type="dxa"/>
              <w:end w:w="60" w:type="dxa"/>
            </w:tcMar>
          </w:tcPr>
          <w:p>
            <w:pPr>
              <w:spacing w:line="240" w:lineRule="auto" w:after="20"/>
              <w:jc w:val="left"/>
            </w:pPr>
            <w:r>
              <w:rPr>
                <w:rFonts w:ascii="Aptos" w:hAnsi="Aptos"/>
                <w:sz w:val="17"/>
              </w:rPr>
            </w:r>
          </w:p>
        </w:tc>
        <w:tc>
          <w:tcPr>
            <w:tcW w:type="dxa" w:w="300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3000"/>
            <w:vAlign w:val="top"/>
            <w:tcMar>
              <w:top w:w="40" w:type="dxa"/>
              <w:start w:w="60" w:type="dxa"/>
              <w:bottom w:w="40" w:type="dxa"/>
              <w:end w:w="60" w:type="dxa"/>
            </w:tcMar>
            <w:shd w:fill="F7FBFD" w:val="clear"/>
          </w:tcPr>
          <w:p>
            <w:pPr>
              <w:spacing w:line="240" w:lineRule="auto" w:after="20"/>
              <w:jc w:val="left"/>
            </w:pPr>
            <w:r>
              <w:rPr>
                <w:rFonts w:ascii="Aptos" w:hAnsi="Aptos"/>
                <w:sz w:val="17"/>
              </w:rPr>
              <w:t>How roles connect around the client</w:t>
            </w:r>
          </w:p>
        </w:tc>
        <w:tc>
          <w:tcPr>
            <w:tcW w:type="dxa" w:w="300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c>
          <w:tcPr>
            <w:tcW w:type="dxa" w:w="300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r>
      <w:tr>
        <w:tc>
          <w:tcPr>
            <w:tcW w:type="dxa" w:w="3000"/>
            <w:vAlign w:val="top"/>
            <w:tcMar>
              <w:top w:w="40" w:type="dxa"/>
              <w:start w:w="60" w:type="dxa"/>
              <w:bottom w:w="40" w:type="dxa"/>
              <w:end w:w="60" w:type="dxa"/>
            </w:tcMar>
          </w:tcPr>
          <w:p>
            <w:pPr>
              <w:spacing w:line="240" w:lineRule="auto" w:after="20"/>
              <w:jc w:val="left"/>
            </w:pPr>
            <w:r>
              <w:rPr>
                <w:rFonts w:ascii="Aptos" w:hAnsi="Aptos"/>
                <w:sz w:val="17"/>
              </w:rPr>
              <w:t>What belongs inside residential care and what does not</w:t>
            </w:r>
          </w:p>
        </w:tc>
        <w:tc>
          <w:tcPr>
            <w:tcW w:type="dxa" w:w="3000"/>
            <w:vAlign w:val="top"/>
            <w:tcMar>
              <w:top w:w="40" w:type="dxa"/>
              <w:start w:w="60" w:type="dxa"/>
              <w:bottom w:w="40" w:type="dxa"/>
              <w:end w:w="60" w:type="dxa"/>
            </w:tcMar>
          </w:tcPr>
          <w:p>
            <w:pPr>
              <w:spacing w:line="240" w:lineRule="auto" w:after="20"/>
              <w:jc w:val="left"/>
            </w:pPr>
            <w:r>
              <w:rPr>
                <w:rFonts w:ascii="Aptos" w:hAnsi="Aptos"/>
                <w:sz w:val="17"/>
              </w:rPr>
            </w:r>
          </w:p>
        </w:tc>
        <w:tc>
          <w:tcPr>
            <w:tcW w:type="dxa" w:w="3000"/>
            <w:vAlign w:val="top"/>
            <w:tcMar>
              <w:top w:w="40" w:type="dxa"/>
              <w:start w:w="60" w:type="dxa"/>
              <w:bottom w:w="40" w:type="dxa"/>
              <w:end w:w="60" w:type="dxa"/>
            </w:tcMar>
          </w:tcPr>
          <w:p>
            <w:pPr>
              <w:spacing w:line="240" w:lineRule="auto" w:after="20"/>
              <w:jc w:val="left"/>
            </w:pPr>
            <w:r>
              <w:rPr>
                <w:rFonts w:ascii="Aptos" w:hAnsi="Aptos"/>
                <w:sz w:val="17"/>
              </w:rPr>
            </w:r>
          </w:p>
        </w:tc>
      </w:tr>
    </w:tbl>
    <w:p>
      <w:pPr>
        <w:spacing w:after="60"/>
      </w:pPr>
    </w:p>
    <w:p>
      <w:pPr>
        <w:pStyle w:val="Heading1"/>
        <w:keepNext/>
        <w:shd w:fill="156082" w:val="clear"/>
      </w:pPr>
      <w:r>
        <w:rPr>
          <w:rFonts w:ascii="Aptos Display" w:hAnsi="Aptos Display"/>
          <w:b/>
          <w:color w:val="FFFFFF"/>
          <w:sz w:val="21"/>
        </w:rPr>
        <w:t>FOLLOW-UP ACTIONS AND SIGN-OFF</w:t>
      </w:r>
    </w:p>
    <w:tbl>
      <w:tblPr>
        <w:tblStyle w:val="TableGrid"/>
        <w:tblW w:type="auto" w:w="0"/>
        <w:jc w:val="center"/>
        <w:tblLayout w:type="fixed"/>
        <w:tblLook w:firstColumn="1" w:firstRow="1" w:lastColumn="0" w:lastRow="0" w:noHBand="0" w:noVBand="1" w:val="04A0"/>
      </w:tblPr>
      <w:tblGrid>
        <w:gridCol w:w="3264"/>
        <w:gridCol w:w="3264"/>
        <w:gridCol w:w="3264"/>
      </w:tblGrid>
      <w:tr>
        <w:tc>
          <w:tcPr>
            <w:tcW w:type="dxa" w:w="30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Follow-up need</w:t>
            </w:r>
          </w:p>
        </w:tc>
        <w:tc>
          <w:tcPr>
            <w:tcW w:type="dxa" w:w="30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Owner</w:t>
            </w:r>
          </w:p>
        </w:tc>
        <w:tc>
          <w:tcPr>
            <w:tcW w:type="dxa" w:w="30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Due or next review point</w:t>
            </w:r>
          </w:p>
        </w:tc>
      </w:tr>
      <w:tr>
        <w:tc>
          <w:tcPr>
            <w:tcW w:type="dxa" w:w="3000"/>
            <w:vAlign w:val="top"/>
            <w:tcMar>
              <w:top w:w="40" w:type="dxa"/>
              <w:start w:w="60" w:type="dxa"/>
              <w:bottom w:w="40" w:type="dxa"/>
              <w:end w:w="60" w:type="dxa"/>
            </w:tcMar>
          </w:tcPr>
          <w:p>
            <w:pPr>
              <w:spacing w:line="240" w:lineRule="auto" w:after="20"/>
              <w:jc w:val="left"/>
            </w:pPr>
            <w:r>
              <w:rPr>
                <w:rFonts w:ascii="Aptos" w:hAnsi="Aptos"/>
                <w:sz w:val="17"/>
              </w:rPr>
            </w:r>
          </w:p>
        </w:tc>
        <w:tc>
          <w:tcPr>
            <w:tcW w:type="dxa" w:w="3000"/>
            <w:vAlign w:val="top"/>
            <w:tcMar>
              <w:top w:w="40" w:type="dxa"/>
              <w:start w:w="60" w:type="dxa"/>
              <w:bottom w:w="40" w:type="dxa"/>
              <w:end w:w="60" w:type="dxa"/>
            </w:tcMar>
          </w:tcPr>
          <w:p>
            <w:pPr>
              <w:spacing w:line="240" w:lineRule="auto" w:after="20"/>
              <w:jc w:val="left"/>
            </w:pPr>
            <w:r>
              <w:rPr>
                <w:rFonts w:ascii="Aptos" w:hAnsi="Aptos"/>
                <w:sz w:val="17"/>
              </w:rPr>
            </w:r>
          </w:p>
        </w:tc>
        <w:tc>
          <w:tcPr>
            <w:tcW w:type="dxa" w:w="300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300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c>
          <w:tcPr>
            <w:tcW w:type="dxa" w:w="300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c>
          <w:tcPr>
            <w:tcW w:type="dxa" w:w="300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r>
      <w:tr>
        <w:tc>
          <w:tcPr>
            <w:tcW w:type="dxa" w:w="3000"/>
            <w:vAlign w:val="top"/>
            <w:tcMar>
              <w:top w:w="40" w:type="dxa"/>
              <w:start w:w="60" w:type="dxa"/>
              <w:bottom w:w="40" w:type="dxa"/>
              <w:end w:w="60" w:type="dxa"/>
            </w:tcMar>
          </w:tcPr>
          <w:p>
            <w:pPr>
              <w:spacing w:line="240" w:lineRule="auto" w:after="20"/>
              <w:jc w:val="left"/>
            </w:pPr>
            <w:r>
              <w:rPr>
                <w:rFonts w:ascii="Aptos" w:hAnsi="Aptos"/>
                <w:sz w:val="17"/>
              </w:rPr>
            </w:r>
          </w:p>
        </w:tc>
        <w:tc>
          <w:tcPr>
            <w:tcW w:type="dxa" w:w="3000"/>
            <w:vAlign w:val="top"/>
            <w:tcMar>
              <w:top w:w="40" w:type="dxa"/>
              <w:start w:w="60" w:type="dxa"/>
              <w:bottom w:w="40" w:type="dxa"/>
              <w:end w:w="60" w:type="dxa"/>
            </w:tcMar>
          </w:tcPr>
          <w:p>
            <w:pPr>
              <w:spacing w:line="240" w:lineRule="auto" w:after="20"/>
              <w:jc w:val="left"/>
            </w:pPr>
            <w:r>
              <w:rPr>
                <w:rFonts w:ascii="Aptos" w:hAnsi="Aptos"/>
                <w:sz w:val="17"/>
              </w:rPr>
            </w:r>
          </w:p>
        </w:tc>
        <w:tc>
          <w:tcPr>
            <w:tcW w:type="dxa" w:w="3000"/>
            <w:vAlign w:val="top"/>
            <w:tcMar>
              <w:top w:w="40" w:type="dxa"/>
              <w:start w:w="60" w:type="dxa"/>
              <w:bottom w:w="40" w:type="dxa"/>
              <w:end w:w="60" w:type="dxa"/>
            </w:tcMar>
          </w:tcPr>
          <w:p>
            <w:pPr>
              <w:spacing w:line="240" w:lineRule="auto" w:after="20"/>
              <w:jc w:val="left"/>
            </w:pPr>
            <w:r>
              <w:rPr>
                <w:rFonts w:ascii="Aptos" w:hAnsi="Aptos"/>
                <w:sz w:val="17"/>
              </w:rPr>
            </w:r>
          </w:p>
        </w:tc>
      </w:tr>
    </w:tbl>
    <w:p>
      <w:pPr>
        <w:spacing w:after="60"/>
      </w:pPr>
    </w:p>
    <w:p>
      <w:pPr>
        <w:pStyle w:val="Heading1"/>
        <w:keepNext/>
        <w:shd w:fill="156082" w:val="clear"/>
      </w:pPr>
      <w:r>
        <w:rPr>
          <w:rFonts w:ascii="Aptos Display" w:hAnsi="Aptos Display"/>
          <w:b/>
          <w:color w:val="FFFFFF"/>
          <w:sz w:val="21"/>
        </w:rPr>
        <w:t>SUPERVISOR ATTESTATION</w:t>
      </w:r>
    </w:p>
    <w:tbl>
      <w:tblPr>
        <w:tblStyle w:val="TableGrid"/>
        <w:tblW w:type="auto" w:w="0"/>
        <w:jc w:val="center"/>
        <w:tblLayout w:type="fixed"/>
        <w:tblLook w:firstColumn="1" w:firstRow="1" w:lastColumn="0" w:lastRow="0" w:noHBand="0" w:noVBand="1" w:val="04A0"/>
      </w:tblPr>
      <w:tblGrid>
        <w:gridCol w:w="4896"/>
        <w:gridCol w:w="4896"/>
      </w:tblGrid>
      <w:tr>
        <w:tc>
          <w:tcPr>
            <w:tcW w:type="dxa" w:w="45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Signature field</w:t>
            </w:r>
          </w:p>
        </w:tc>
        <w:tc>
          <w:tcPr>
            <w:tcW w:type="dxa" w:w="45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Entry</w:t>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Supervisor or facilitator signature</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Learner signature</w:t>
            </w:r>
          </w:p>
        </w:tc>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Date</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Additional comments</w:t>
            </w:r>
          </w:p>
        </w:tc>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r>
    </w:tbl>
    <w:p>
      <w:pPr>
        <w:spacing w:after="60"/>
      </w:pPr>
    </w:p>
    <w:p>
      <w:pPr>
        <w:pStyle w:val="Heading1"/>
        <w:keepNext/>
        <w:shd w:fill="156082" w:val="clear"/>
      </w:pPr>
      <w:r>
        <w:rPr>
          <w:rFonts w:ascii="Aptos Display" w:hAnsi="Aptos Display"/>
          <w:b/>
          <w:color w:val="FFFFFF"/>
          <w:sz w:val="21"/>
        </w:rPr>
        <w:t>FACILITATOR NOTE</w:t>
      </w:r>
    </w:p>
    <w:p>
      <w:r>
        <w:t>This branded resource is intended to support onboarding conversation, documentation readiness, and consistent practice. It may be adapted to local workflow while preserving the section purpose, structural headings, and Adolbi Care brand treatment.</w:t>
      </w:r>
    </w:p>
    <w:sectPr w:rsidR="00FC693F" w:rsidRPr="0006063C" w:rsidSect="00034616">
      <w:headerReference w:type="default" r:id="rId9"/>
      <w:pgSz w:w="12240" w:h="15840"/>
      <w:pgMar w:top="1224" w:right="1224" w:bottom="1224" w:left="122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center"/>
      <w:tblLayout w:type="fixed"/>
      <w:tblLook w:firstColumn="1" w:firstRow="1" w:lastColumn="0" w:lastRow="0" w:noHBand="0" w:noVBand="1" w:val="04A0"/>
    </w:tblPr>
    <w:tblGrid>
      <w:gridCol w:w="4968"/>
      <w:gridCol w:w="4392"/>
    </w:tblGrid>
    <w:tr>
      <w:tc>
        <w:tcPr>
          <w:tcW w:type="dxa" w:w="4968"/>
          <w:vAlign w:val="center"/>
          <w:tcMar>
            <w:top w:w="45" w:type="dxa"/>
            <w:start w:w="40" w:type="dxa"/>
            <w:bottom w:w="45" w:type="dxa"/>
            <w:end w:w="40" w:type="dxa"/>
          </w:tcMar>
          <w:shd w:fill="FFFFFF" w:val="clear"/>
        </w:tcPr>
        <w:p>
          <w:pPr>
            <w:jc w:val="left"/>
          </w:pPr>
          <w:r>
            <w:drawing>
              <wp:inline xmlns:a="http://schemas.openxmlformats.org/drawingml/2006/main" xmlns:pic="http://schemas.openxmlformats.org/drawingml/2006/picture">
                <wp:extent cx="1874519" cy="624840"/>
                <wp:docPr id="1" name="Picture 1"/>
                <wp:cNvGraphicFramePr>
                  <a:graphicFrameLocks noChangeAspect="1"/>
                </wp:cNvGraphicFramePr>
                <a:graphic>
                  <a:graphicData uri="http://schemas.openxmlformats.org/drawingml/2006/picture">
                    <pic:pic>
                      <pic:nvPicPr>
                        <pic:cNvPr id="0" name="logo_on_navy.png"/>
                        <pic:cNvPicPr/>
                      </pic:nvPicPr>
                      <pic:blipFill>
                        <a:blip r:embed="rId1"/>
                        <a:stretch>
                          <a:fillRect/>
                        </a:stretch>
                      </pic:blipFill>
                      <pic:spPr>
                        <a:xfrm>
                          <a:off x="0" y="0"/>
                          <a:ext cx="1874519" cy="624840"/>
                        </a:xfrm>
                        <a:prstGeom prst="rect"/>
                      </pic:spPr>
                    </pic:pic>
                  </a:graphicData>
                </a:graphic>
              </wp:inline>
            </w:drawing>
          </w:r>
        </w:p>
      </w:tc>
      <w:tc>
        <w:tcPr>
          <w:tcW w:type="dxa" w:w="4392"/>
          <w:vAlign w:val="center"/>
          <w:tcMar>
            <w:top w:w="45" w:type="dxa"/>
            <w:start w:w="50" w:type="dxa"/>
            <w:bottom w:w="45" w:type="dxa"/>
            <w:end w:w="50" w:type="dxa"/>
          </w:tcMar>
          <w:shd w:fill="E97132" w:val="clear"/>
        </w:tcPr>
        <w:p>
          <w:pPr>
            <w:spacing w:after="0"/>
            <w:jc w:val="center"/>
          </w:pPr>
          <w:r>
            <w:rPr>
              <w:rFonts w:ascii="Aptos Display" w:hAnsi="Aptos Display"/>
              <w:b/>
              <w:color w:val="FFFFFF"/>
              <w:sz w:val="18"/>
            </w:rPr>
            <w:t>BEHAVIORAL HEALTH CENTER AT CYPRESS</w:t>
          </w:r>
        </w:p>
      </w:tc>
    </w:tr>
  </w:tbl>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line="259" w:lineRule="auto" w:before="0" w:after="160"/>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60" w:after="80" w:line="240" w:lineRule="auto"/>
      <w:outlineLvl w:val="0"/>
    </w:pPr>
    <w:rPr>
      <w:rFonts w:asciiTheme="majorHAnsi" w:eastAsiaTheme="majorEastAsia" w:hAnsiTheme="majorHAnsi" w:cstheme="majorBidi" w:ascii="Aptos Display" w:hAnsi="Aptos Display"/>
      <w:b/>
      <w:bCs/>
      <w:caps/>
      <w:color w:val="FFFFFF"/>
      <w:sz w:val="21"/>
      <w:szCs w:val="28"/>
    </w:rPr>
  </w:style>
  <w:style w:type="paragraph" w:styleId="Heading2">
    <w:name w:val="heading 2"/>
    <w:basedOn w:val="Normal"/>
    <w:next w:val="Normal"/>
    <w:link w:val="Heading2Char"/>
    <w:uiPriority w:val="9"/>
    <w:unhideWhenUsed/>
    <w:qFormat/>
    <w:rsid w:val="00FC693F"/>
    <w:pPr>
      <w:keepNext/>
      <w:keepLines/>
      <w:spacing w:before="120" w:after="80" w:line="240" w:lineRule="auto"/>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20" w:after="80" w:line="240" w:lineRule="auto"/>
      <w:outlineLvl w:val="2"/>
    </w:pPr>
    <w:rPr>
      <w:rFonts w:asciiTheme="majorHAnsi" w:eastAsiaTheme="majorEastAsia" w:hAnsiTheme="majorHAnsi" w:cstheme="majorBidi" w:ascii="Aptos Display" w:hAnsi="Aptos Display"/>
      <w:b/>
      <w:bCs/>
      <w:caps w:val="0"/>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160" w:line="240" w:lineRule="auto" w:before="80"/>
      <w:contextualSpacing/>
    </w:pPr>
    <w:rPr>
      <w:rFonts w:asciiTheme="majorHAnsi" w:eastAsiaTheme="majorEastAsia" w:hAnsiTheme="majorHAnsi" w:cstheme="majorBidi" w:ascii="Aptos Display" w:hAnsi="Aptos Display"/>
      <w:color w:val="156082"/>
      <w:spacing w:val="5"/>
      <w:kern w:val="28"/>
      <w:sz w:val="48"/>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Orientation completion note template</dc:title>
  <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