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Oversight and escalation decision worksheet</w:t>
      </w:r>
    </w:p>
    <w:p>
      <w:pPr>
        <w:spacing w:before="0" w:after="200"/>
      </w:pPr>
      <w:r>
        <w:rPr>
          <w:b/>
        </w:rPr>
        <w:t>Module 6 — Role-Based Pathways and Scope Activation</w:t>
        <w:br/>
      </w:r>
      <w:r>
        <w:t>Section 3 — Lead, supervisory, and Administrator pathway</w:t>
        <w:br/>
      </w:r>
      <w:r>
        <w:t>Prepared for Adolbi Care — Behavioral Health Center at Cypress</w:t>
        <w:br/>
      </w:r>
      <w:r>
        <w:t>Authored by AMOS I</w:t>
      </w:r>
    </w:p>
    <w:p>
      <w:pPr>
        <w:pStyle w:val="Heading1"/>
        <w:shd w:fill="156082" w:val="clear"/>
      </w:pPr>
      <w:r>
        <w:t>Document purpose</w:t>
      </w:r>
    </w:p>
    <w:p>
      <w:r>
        <w:t>This editable worksheet helps leadership teams discuss how staffing strain, incident response, escalation routing, and corrective follow-through should be handled across oversight roles.</w:t>
      </w:r>
    </w:p>
    <w:p>
      <w:r>
        <w:t>Leads, supervisors, and Administrators can use the worksheet during readiness meetings, coaching, or scenario review when leadership authority needs clearer boundaries.</w:t>
      </w:r>
    </w:p>
    <w:p>
      <w:pPr>
        <w:pStyle w:val="Heading1"/>
        <w:shd w:fill="156082" w:val="clear"/>
      </w:pPr>
      <w:r>
        <w:t>Section context</w:t>
      </w:r>
    </w:p>
    <w:p>
      <w:r>
        <w:t>This section turns to the oversight pathway, where staffing control, approvals, escalation decisions, quality review, and corrective follow-through become more central than routine task execution alone.</w:t>
      </w:r>
    </w:p>
    <w:p>
      <w:r>
        <w:t>Clarify how leadership pathways differ from resident-facing pathways by teaching the additional authority, review expectations, and control responsibilities carried by leads, supervisors, and the Administrator.</w:t>
      </w:r>
    </w:p>
    <w:p>
      <w:pPr>
        <w:pStyle w:val="Heading2"/>
        <w:shd w:fill="C1E4F5" w:val="clear"/>
      </w:pPr>
      <w:r>
        <w:t>Why this section matters</w:t>
      </w:r>
    </w:p>
    <w:p>
      <w:r>
        <w:t>Leads, supervisors, and the Administrator operate under a different activation posture because they influence how the whole system behaves, not only how one task is performed. Their pathway includes staffing oversight, assignment adjustments, escalation routing, approvals, and corrective follow-through.</w:t>
      </w:r>
    </w:p>
    <w:p>
      <w:r>
        <w:t>Leadership pathways carry a wider evidence burden. It is not enough to understand the workflow personally; the person must show that they can direct others, interpret exceptions, balance competing pressures, and document decisions that may later be reviewed.</w:t>
      </w:r>
    </w:p>
    <w:p>
      <w:r>
        <w:t>This is therefore an oversight pathway rather than a more senior version of ordinary duties. Readiness depends on decision quality, review discipline, and the ability to hold the system together when operations become unstable.</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Oversight comes before independence</w:t>
            </w:r>
          </w:p>
        </w:tc>
        <w:tc>
          <w:tcPr>
            <w:tcW w:type="dxa" w:w="4680"/>
          </w:tcPr>
          <w:p>
            <w:pPr>
              <w:spacing w:after="120"/>
            </w:pPr>
            <w:r>
              <w:t>Leadership activation requires proof that the person can supervise work, interpret exceptions, and support others rather than only complete tasks alone.</w:t>
            </w:r>
          </w:p>
        </w:tc>
      </w:tr>
      <w:tr>
        <w:tc>
          <w:tcPr>
            <w:tcW w:type="dxa" w:w="4680"/>
          </w:tcPr>
          <w:p>
            <w:pPr>
              <w:spacing w:after="120"/>
            </w:pPr>
            <w:r>
              <w:t>Approval authority must be explicit</w:t>
            </w:r>
          </w:p>
        </w:tc>
        <w:tc>
          <w:tcPr>
            <w:tcW w:type="dxa" w:w="4680"/>
          </w:tcPr>
          <w:p>
            <w:pPr>
              <w:spacing w:after="120"/>
            </w:pPr>
            <w:r>
              <w:t>Assignments, staffing changes, escalation decisions, and release actions should never depend on assumed authority.</w:t>
            </w:r>
          </w:p>
        </w:tc>
      </w:tr>
      <w:tr>
        <w:tc>
          <w:tcPr>
            <w:tcW w:type="dxa" w:w="4680"/>
          </w:tcPr>
          <w:p>
            <w:pPr>
              <w:spacing w:after="120"/>
            </w:pPr>
            <w:r>
              <w:t>Review and correction are part of the role</w:t>
            </w:r>
          </w:p>
        </w:tc>
        <w:tc>
          <w:tcPr>
            <w:tcW w:type="dxa" w:w="4680"/>
          </w:tcPr>
          <w:p>
            <w:pPr>
              <w:spacing w:after="120"/>
            </w:pPr>
            <w:r>
              <w:t>Leadership pathways include feedback, documentation review, issue closure, and corrective follow-through when standards are not met.</w:t>
            </w:r>
          </w:p>
        </w:tc>
      </w:tr>
      <w:tr>
        <w:tc>
          <w:tcPr>
            <w:tcW w:type="dxa" w:w="4680"/>
          </w:tcPr>
          <w:p>
            <w:pPr>
              <w:spacing w:after="120"/>
            </w:pPr>
            <w:r>
              <w:t>Administrator control anchors the model</w:t>
            </w:r>
          </w:p>
        </w:tc>
        <w:tc>
          <w:tcPr>
            <w:tcW w:type="dxa" w:w="4680"/>
          </w:tcPr>
          <w:p>
            <w:pPr>
              <w:spacing w:after="120"/>
            </w:pPr>
            <w:r>
              <w:t>Higher-level readiness, restriction, and release decisions must remain visible and defensible at the top of the system.</w:t>
            </w:r>
          </w:p>
        </w:tc>
      </w:tr>
    </w:tbl>
    <w:p>
      <w:pPr>
        <w:pStyle w:val="Heading2"/>
        <w:shd w:fill="C1E4F5" w:val="clear"/>
      </w:pPr>
      <w:r>
        <w:t>Key reminders</w:t>
      </w:r>
    </w:p>
    <w:p>
      <w:pPr>
        <w:pStyle w:val="ListBullet"/>
        <w:spacing w:after="120"/>
        <w:ind w:left="720" w:hanging="360"/>
      </w:pPr>
      <w:r>
        <w:t>Leadership pathways carry system-control responsibilities, not only advanced versions of routine tasks.</w:t>
      </w:r>
    </w:p>
    <w:p>
      <w:pPr>
        <w:pStyle w:val="ListBullet"/>
        <w:spacing w:after="120"/>
        <w:ind w:left="720" w:hanging="360"/>
      </w:pPr>
      <w:r>
        <w:t>Decision rights should be named clearly so approval authority is never inferred loosely.</w:t>
      </w:r>
    </w:p>
    <w:p>
      <w:pPr>
        <w:pStyle w:val="ListBullet"/>
        <w:spacing w:after="120"/>
        <w:ind w:left="720" w:hanging="360"/>
      </w:pPr>
      <w:r>
        <w:t>This section prepares the learner for the later competency-proof and release-gating modules.</w:t>
      </w:r>
    </w:p>
    <w:p>
      <w:r>
        <w:t>A leadership pathway becomes unsafe when authority is broad but the evidence behind judgment is weak. This section helps the organization distinguish supervisory readiness from general familiarity with operations.</w:t>
      </w:r>
    </w:p>
    <w:p>
      <w:pPr>
        <w:pStyle w:val="Heading1"/>
        <w:shd w:fill="156082" w:val="clear"/>
      </w:pPr>
      <w:r>
        <w:t>Instructions</w:t>
      </w:r>
    </w:p>
    <w:p>
      <w:pPr>
        <w:pStyle w:val="ListBullet"/>
        <w:spacing w:after="120"/>
        <w:ind w:left="720" w:hanging="360"/>
      </w:pPr>
      <w:r>
        <w:t>Use one recent or realistic scenario so the discussion remains grounded in the organization’s actual operating pressures.</w:t>
      </w:r>
    </w:p>
    <w:p>
      <w:pPr>
        <w:pStyle w:val="ListBullet"/>
        <w:spacing w:after="120"/>
        <w:ind w:left="720" w:hanging="360"/>
      </w:pPr>
      <w:r>
        <w:t>Identify which decisions stay at the lead or supervisor level and which ones should be elevated or retained by the Administrator.</w:t>
      </w:r>
    </w:p>
    <w:p>
      <w:pPr>
        <w:pStyle w:val="ListBullet"/>
        <w:spacing w:after="120"/>
        <w:ind w:left="720" w:hanging="360"/>
      </w:pPr>
      <w:r>
        <w:t>Close by documenting one authority threshold that must be clarified before broader leadership activation continues.</w:t>
      </w:r>
    </w:p>
    <w:p>
      <w:pPr>
        <w:pStyle w:val="Heading1"/>
        <w:shd w:fill="156082" w:val="clear"/>
      </w:pPr>
      <w:r>
        <w:t>Worksheet and record fields</w:t>
      </w:r>
    </w:p>
    <w:p>
      <w:pPr>
        <w:pStyle w:val="Heading3"/>
      </w:pPr>
      <w:r>
        <w:t>Scenario control review</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fill="0A2F40" w:val="clear"/>
          </w:tcPr>
          <w:p>
            <w:r>
              <w:rPr>
                <w:rFonts w:ascii="Aptos" w:hAnsi="Aptos"/>
                <w:b/>
                <w:color w:val="FFFFFF"/>
                <w:sz w:val="18"/>
              </w:rPr>
              <w:t>Scenario</w:t>
            </w:r>
          </w:p>
        </w:tc>
        <w:tc>
          <w:tcPr>
            <w:tcW w:type="dxa" w:w="2340"/>
            <w:shd w:fill="0A2F40" w:val="clear"/>
          </w:tcPr>
          <w:p>
            <w:r>
              <w:rPr>
                <w:rFonts w:ascii="Aptos" w:hAnsi="Aptos"/>
                <w:b/>
                <w:color w:val="FFFFFF"/>
                <w:sz w:val="18"/>
              </w:rPr>
              <w:t>Lead / supervisor actions</w:t>
            </w:r>
          </w:p>
        </w:tc>
        <w:tc>
          <w:tcPr>
            <w:tcW w:type="dxa" w:w="2340"/>
            <w:shd w:fill="0A2F40" w:val="clear"/>
          </w:tcPr>
          <w:p>
            <w:r>
              <w:rPr>
                <w:rFonts w:ascii="Aptos" w:hAnsi="Aptos"/>
                <w:b/>
                <w:color w:val="FFFFFF"/>
                <w:sz w:val="18"/>
              </w:rPr>
              <w:t>Administrator actions</w:t>
            </w:r>
          </w:p>
        </w:tc>
        <w:tc>
          <w:tcPr>
            <w:tcW w:type="dxa" w:w="2340"/>
            <w:shd w:fill="0A2F40" w:val="clear"/>
          </w:tcPr>
          <w:p>
            <w:r>
              <w:rPr>
                <w:rFonts w:ascii="Aptos" w:hAnsi="Aptos"/>
                <w:b/>
                <w:color w:val="FFFFFF"/>
                <w:sz w:val="18"/>
              </w:rPr>
              <w:t>Evidence needed</w:t>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bl>
    <w:p>
      <w:pPr>
        <w:pStyle w:val="Heading3"/>
      </w:pPr>
      <w:r>
        <w:t>Threshold clarification plan</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fill="0A2F40" w:val="clear"/>
          </w:tcPr>
          <w:p>
            <w:r>
              <w:rPr>
                <w:rFonts w:ascii="Aptos" w:hAnsi="Aptos"/>
                <w:b/>
                <w:color w:val="FFFFFF"/>
                <w:sz w:val="18"/>
              </w:rPr>
              <w:t>Decision area</w:t>
            </w:r>
          </w:p>
        </w:tc>
        <w:tc>
          <w:tcPr>
            <w:tcW w:type="dxa" w:w="2340"/>
            <w:shd w:fill="0A2F40" w:val="clear"/>
          </w:tcPr>
          <w:p>
            <w:r>
              <w:rPr>
                <w:rFonts w:ascii="Aptos" w:hAnsi="Aptos"/>
                <w:b/>
                <w:color w:val="FFFFFF"/>
                <w:sz w:val="18"/>
              </w:rPr>
              <w:t>Current confusion</w:t>
            </w:r>
          </w:p>
        </w:tc>
        <w:tc>
          <w:tcPr>
            <w:tcW w:type="dxa" w:w="2340"/>
            <w:shd w:fill="0A2F40" w:val="clear"/>
          </w:tcPr>
          <w:p>
            <w:r>
              <w:rPr>
                <w:rFonts w:ascii="Aptos" w:hAnsi="Aptos"/>
                <w:b/>
                <w:color w:val="FFFFFF"/>
                <w:sz w:val="18"/>
              </w:rPr>
              <w:t>Clarified boundary</w:t>
            </w:r>
          </w:p>
        </w:tc>
        <w:tc>
          <w:tcPr>
            <w:tcW w:type="dxa" w:w="2340"/>
            <w:shd w:fill="0A2F40" w:val="clear"/>
          </w:tcPr>
          <w:p>
            <w:r>
              <w:rPr>
                <w:rFonts w:ascii="Aptos" w:hAnsi="Aptos"/>
                <w:b/>
                <w:color w:val="FFFFFF"/>
                <w:sz w:val="18"/>
              </w:rPr>
              <w:t>Owner for follow-up</w:t>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bl>
    <w:p>
      <w:pPr>
        <w:pStyle w:val="Heading1"/>
        <w:shd w:fill="156082" w:val="clear"/>
      </w:pPr>
      <w:r>
        <w:t>Reflection and completion prompts</w:t>
      </w:r>
    </w:p>
    <w:p>
      <w:pPr>
        <w:pStyle w:val="ListBullet"/>
        <w:spacing w:after="120"/>
        <w:ind w:left="720" w:hanging="360"/>
      </w:pPr>
      <w:r>
        <w:t>Where is leadership authority easiest to overstate or understate in your current environment?</w:t>
      </w:r>
    </w:p>
    <w:p>
      <w:pPr>
        <w:pStyle w:val="ListBullet"/>
        <w:spacing w:after="120"/>
        <w:ind w:left="720" w:hanging="360"/>
      </w:pPr>
      <w:r>
        <w:t>Which oversight decision requires the strongest evidence before wider release should occur?</w:t>
      </w:r>
    </w:p>
    <w:p>
      <w:pPr>
        <w:pStyle w:val="ListBullet"/>
        <w:spacing w:after="120"/>
        <w:ind w:left="720" w:hanging="360"/>
      </w:pPr>
      <w:r>
        <w:t>How will the team keep Administrator-level control visible in practice?</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Oversight and escalation decision worksheet</dc:title>
  <dc:subject>Module 6 — Role-Based Pathways and Scope Activation — Lead, supervisory, and Administrator pathway</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