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spacing w:after="120"/>
        <w:jc w:val="left"/>
      </w:pPr>
      <w:r>
        <w:t>Pathway assignment discussion worksheet</w:t>
      </w:r>
    </w:p>
    <w:p>
      <w:pPr>
        <w:spacing w:before="0" w:after="200"/>
      </w:pPr>
      <w:r>
        <w:rPr>
          <w:b/>
        </w:rPr>
        <w:t>Module 6 — Role-Based Pathways and Scope Activation</w:t>
        <w:br/>
      </w:r>
      <w:r>
        <w:t>Section 1 — Why role-based pathways exist</w:t>
        <w:br/>
      </w:r>
      <w:r>
        <w:t>Prepared for Adolbi Care — Behavioral Health Center at Cypress</w:t>
        <w:br/>
      </w:r>
      <w:r>
        <w:t>Authored by AMOS I</w:t>
      </w:r>
    </w:p>
    <w:p>
      <w:pPr>
        <w:pStyle w:val="Heading1"/>
        <w:shd w:fill="156082" w:val="clear"/>
      </w:pPr>
      <w:r>
        <w:t>Document purpose</w:t>
      </w:r>
    </w:p>
    <w:p>
      <w:r>
        <w:t>This editable worksheet helps supervisors discuss how scope, risk, and supervision expectations change across staff pathways before activation decisions are made.</w:t>
      </w:r>
    </w:p>
    <w:p>
      <w:r>
        <w:t>Facilitators and supervisors can use the worksheet during orientation meetings, assignment planning, or readiness review when they need to clarify why one learner’s activation conditions differ from another’s.</w:t>
      </w:r>
    </w:p>
    <w:p>
      <w:pPr>
        <w:pStyle w:val="Heading1"/>
        <w:shd w:fill="156082" w:val="clear"/>
      </w:pPr>
      <w:r>
        <w:t>Section context</w:t>
      </w:r>
    </w:p>
    <w:p>
      <w:r>
        <w:t>This opening section explains why the series now separates into role-based pathways instead of treating all staff as if they activate in the same way after completing the universal foundation.</w:t>
      </w:r>
    </w:p>
    <w:p>
      <w:r>
        <w:t>Help learners understand the logic of role-based activation so they can distinguish shared orientation requirements from pathway-specific readiness expectations.</w:t>
      </w:r>
    </w:p>
    <w:p>
      <w:pPr>
        <w:pStyle w:val="Heading2"/>
        <w:shd w:fill="C1E4F5" w:val="clear"/>
      </w:pPr>
      <w:r>
        <w:t>Why this section matters</w:t>
      </w:r>
    </w:p>
    <w:p>
      <w:r>
        <w:t>Modules 1 through 5 establish one shared operating language. Module 6 marks the point where that common foundation must be translated into pathway-specific activation, scope, supervision, and evidence decisions.</w:t>
      </w:r>
    </w:p>
    <w:p>
      <w:r>
        <w:t>The organization cannot treat every role as if it carries the same risk, authority, or approval thresholds. Role-based pathways exist so direct-care, leadership, specialty, and restricted-duty staff can move into work under the right controls rather than under a generic completion label.</w:t>
      </w:r>
    </w:p>
    <w:p>
      <w:r>
        <w:t>This section frames activation as a matching process: the learner must be prepared for the actual role, scope, and oversight structure they will enter, not just for a generic training milestone.</w:t>
      </w:r>
    </w:p>
    <w:p>
      <w:pPr>
        <w:pStyle w:val="Heading2"/>
        <w:shd w:fill="C1E4F5" w:val="clear"/>
      </w:pPr>
      <w:r>
        <w:t>Core practice frame</w:t>
      </w:r>
    </w:p>
    <w:p>
      <w:pPr>
        <w:pStyle w:val="Heading3"/>
      </w:pPr>
      <w:r>
        <w:t>Operational anchors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4680"/>
        <w:gridCol w:w="4680"/>
      </w:tblGrid>
      <w:tr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Anchor</w:t>
            </w:r>
          </w:p>
        </w:tc>
        <w:tc>
          <w:tcPr>
            <w:tcW w:type="dxa" w:w="468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Guidance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Universal learning comes first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All pathways begin from the shared foundation established in Modules 1 through 5 before specialization begins.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Role families create different expectations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Daily duties, decision rights, restrictions, and oversight change across pathways and therefore require different activation logic.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Scope boundaries must be explicit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Readiness becomes unsafe when staff act outside the duties, approvals, or controls attached to their pathway.</w:t>
            </w:r>
          </w:p>
        </w:tc>
      </w:tr>
      <w:tr>
        <w:tc>
          <w:tcPr>
            <w:tcW w:type="dxa" w:w="4680"/>
          </w:tcPr>
          <w:p>
            <w:pPr>
              <w:spacing w:after="120"/>
            </w:pPr>
            <w:r>
              <w:t>Evidence must match the pathway</w:t>
            </w:r>
          </w:p>
        </w:tc>
        <w:tc>
          <w:tcPr>
            <w:tcW w:type="dxa" w:w="4680"/>
          </w:tcPr>
          <w:p>
            <w:pPr>
              <w:spacing w:after="120"/>
            </w:pPr>
            <w:r>
              <w:t>Later competency review and release gating only work when the target pathway has been clearly identified from the start.</w:t>
            </w:r>
          </w:p>
        </w:tc>
      </w:tr>
    </w:tbl>
    <w:p>
      <w:pPr>
        <w:pStyle w:val="Heading2"/>
        <w:shd w:fill="C1E4F5" w:val="clear"/>
      </w:pPr>
      <w:r>
        <w:t>Key reminders</w:t>
      </w:r>
    </w:p>
    <w:p>
      <w:pPr>
        <w:pStyle w:val="ListBullet"/>
        <w:spacing w:after="120"/>
        <w:ind w:left="720" w:hanging="360"/>
      </w:pPr>
      <w:r>
        <w:t>Module 6 moves the learner from universal instruction into controlled role activation.</w:t>
      </w:r>
    </w:p>
    <w:p>
      <w:pPr>
        <w:pStyle w:val="ListBullet"/>
        <w:spacing w:after="120"/>
        <w:ind w:left="720" w:hanging="360"/>
      </w:pPr>
      <w:r>
        <w:t>Role families require different readiness rules, not merely different titles.</w:t>
      </w:r>
    </w:p>
    <w:p>
      <w:pPr>
        <w:pStyle w:val="ListBullet"/>
        <w:spacing w:after="120"/>
        <w:ind w:left="720" w:hanging="360"/>
      </w:pPr>
      <w:r>
        <w:t>Activation logic must remain visible before later competency and release decisions can be defended.</w:t>
      </w:r>
    </w:p>
    <w:p>
      <w:r>
        <w:t>The opening lesson establishes why readiness should no longer be discussed in generic terms. Pathway clarity is what keeps later activation decisions consistent, defensible, and safe.</w:t>
      </w:r>
    </w:p>
    <w:p>
      <w:pPr>
        <w:pStyle w:val="Heading1"/>
        <w:shd w:fill="156082" w:val="clear"/>
      </w:pPr>
      <w:r>
        <w:t>Instructions</w:t>
      </w:r>
    </w:p>
    <w:p>
      <w:pPr>
        <w:pStyle w:val="ListBullet"/>
        <w:spacing w:after="120"/>
        <w:ind w:left="720" w:hanging="360"/>
      </w:pPr>
      <w:r>
        <w:t>Use the worksheet with one real role in mind rather than discussing activation only in the abstract.</w:t>
      </w:r>
    </w:p>
    <w:p>
      <w:pPr>
        <w:pStyle w:val="ListBullet"/>
        <w:spacing w:after="120"/>
        <w:ind w:left="720" w:hanging="360"/>
      </w:pPr>
      <w:r>
        <w:t>Name where the role sits in relation to direct-care, leadership, specialty, or restricted-duty expectations.</w:t>
      </w:r>
    </w:p>
    <w:p>
      <w:pPr>
        <w:pStyle w:val="ListBullet"/>
        <w:spacing w:after="120"/>
        <w:ind w:left="720" w:hanging="360"/>
      </w:pPr>
      <w:r>
        <w:t>Close by documenting one pathway boundary that must stay visible before the learner moves further toward release.</w:t>
      </w:r>
    </w:p>
    <w:p>
      <w:pPr>
        <w:pStyle w:val="Heading1"/>
        <w:shd w:fill="156082" w:val="clear"/>
      </w:pPr>
      <w:r>
        <w:t>Worksheet and record fields</w:t>
      </w:r>
    </w:p>
    <w:p>
      <w:pPr>
        <w:pStyle w:val="Heading3"/>
      </w:pPr>
      <w:r>
        <w:t>Pathway assignment review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Role under discussion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Primary duties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Key scope limits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Required supervision or approvals</w:t>
            </w:r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</w:tbl>
    <w:p>
      <w:pPr>
        <w:pStyle w:val="Heading3"/>
      </w:pPr>
      <w:r>
        <w:t>Activation planning notes</w:t>
      </w:r>
    </w:p>
    <w:tbl>
      <w:tblPr>
        <w:tblStyle w:val="TableGrid"/>
        <w:tblW w:type="auto" w:w="0"/>
        <w:jc w:val="left"/>
        <w:tblLook w:firstColumn="1" w:firstRow="1" w:lastColumn="0" w:lastRow="0" w:noHBand="0" w:noVBand="1" w:val="04A0"/>
      </w:tblPr>
      <w:tblGrid>
        <w:gridCol w:w="2340"/>
        <w:gridCol w:w="2340"/>
        <w:gridCol w:w="2340"/>
        <w:gridCol w:w="2340"/>
      </w:tblGrid>
      <w:tr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Evidence already present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Evidence still needed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Restriction that must remain visible</w:t>
            </w:r>
          </w:p>
        </w:tc>
        <w:tc>
          <w:tcPr>
            <w:tcW w:type="dxa" w:w="2340"/>
            <w:shd w:fill="0A2F40" w:val="clear"/>
          </w:tcPr>
          <w:p>
            <w:r>
              <w:rPr>
                <w:rFonts w:ascii="Aptos" w:hAnsi="Aptos"/>
                <w:b/>
                <w:color w:val="FFFFFF"/>
                <w:sz w:val="18"/>
              </w:rPr>
              <w:t>Next review point</w:t>
            </w:r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  <w:tr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  <w:tc>
          <w:tcPr>
            <w:tcW w:type="dxa" w:w="2340"/>
          </w:tcPr>
          <w:p>
            <w:pPr>
              <w:spacing w:after="120"/>
            </w:pPr>
            <w:r/>
          </w:p>
        </w:tc>
      </w:tr>
    </w:tbl>
    <w:p>
      <w:pPr>
        <w:pStyle w:val="Heading1"/>
        <w:shd w:fill="156082" w:val="clear"/>
      </w:pPr>
      <w:r>
        <w:t>Reflection and completion prompts</w:t>
      </w:r>
    </w:p>
    <w:p>
      <w:pPr>
        <w:pStyle w:val="ListBullet"/>
        <w:spacing w:after="120"/>
        <w:ind w:left="720" w:hanging="360"/>
      </w:pPr>
      <w:r>
        <w:t>What makes this pathway different from a general completion label?</w:t>
      </w:r>
    </w:p>
    <w:p>
      <w:pPr>
        <w:pStyle w:val="ListBullet"/>
        <w:spacing w:after="120"/>
        <w:ind w:left="720" w:hanging="360"/>
      </w:pPr>
      <w:r>
        <w:t>Which boundary would create the greatest risk if it were assumed rather than named?</w:t>
      </w:r>
    </w:p>
    <w:p>
      <w:pPr>
        <w:pStyle w:val="ListBullet"/>
        <w:spacing w:after="120"/>
        <w:ind w:left="720" w:hanging="360"/>
      </w:pPr>
      <w:r>
        <w:t>How will the team know the learner is being matched to the right pathway rather than the easiest one to describe?</w:t>
      </w:r>
    </w:p>
    <w:sectPr w:rsidR="00FC693F" w:rsidRPr="0006063C" w:rsidSect="00034616">
      <w:headerReference w:type="default" r:id="rId9"/>
      <w:pgSz w:w="12240" w:h="15840"/>
      <w:pgMar w:top="1440" w:right="1440" w:bottom="1440" w:left="1440" w:header="288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</w:p>
  <w:tbl>
    <w:tblPr>
      <w:tblW w:type="auto" w:w="0"/>
      <w:jc w:val="left"/>
      <w:tblLayout w:type="fixed"/>
      <w:tblLook w:firstColumn="1" w:firstRow="1" w:lastColumn="0" w:lastRow="0" w:noHBand="0" w:noVBand="1" w:val="04A0"/>
      <w:tblBorders>
        <w:top w:val="nil"/>
        <w:left w:val="nil"/>
        <w:bottom w:val="nil"/>
        <w:right w:val="nil"/>
        <w:insideH w:val="nil"/>
        <w:insideV w:val="nil"/>
      </w:tblBorders>
    </w:tblPr>
    <w:tblGrid>
      <w:gridCol w:w="4680"/>
      <w:gridCol w:w="4680"/>
    </w:tblGrid>
    <w:tr>
      <w:tc>
        <w:tcPr>
          <w:tcW w:type="dxa" w:w="3024"/>
          <w:vAlign w:val="center"/>
        </w:tcPr>
        <w:p>
          <w:pPr>
            <w:spacing w:before="0" w:after="0"/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463040" cy="487680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logo_on_white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3040" cy="487680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6336"/>
          <w:vAlign w:val="center"/>
          <w:shd w:fill="E97132" w:val="clear"/>
        </w:tcPr>
        <w:p>
          <w:pPr>
            <w:spacing w:before="0" w:after="0"/>
            <w:jc w:val="center"/>
          </w:pPr>
          <w:r>
            <w:rPr>
              <w:rFonts w:ascii="Aptos Display" w:hAnsi="Aptos Display"/>
              <w:b/>
              <w:color w:val="FFFFFF"/>
              <w:sz w:val="18"/>
            </w:rPr>
            <w:t>BEHAVIORAL HEALTH CENTER AT CYPRESS</w:t>
          </w:r>
        </w:p>
      </w:tc>
    </w:tr>
  </w:tbl>
  <w:p>
    <w:pPr>
      <w:spacing w:before="40" w:after="0"/>
      <w:pBdr>
        <w:bottom w:val="single" w:sz="12" w:space="1" w:color="156082"/>
      </w:pBd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before="0" w:after="240" w:line="276" w:lineRule="auto"/>
    </w:pPr>
    <w:rPr>
      <w:rFonts w:ascii="Aptos" w:hAnsi="Aptos"/>
      <w:color w:val="000000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120" w:after="160"/>
      <w:outlineLvl w:val="0"/>
    </w:pPr>
    <w:rPr>
      <w:rFonts w:asciiTheme="majorHAnsi" w:eastAsiaTheme="majorEastAsia" w:hAnsiTheme="majorHAnsi" w:cstheme="majorBidi" w:ascii="Aptos Display" w:hAnsi="Aptos Display"/>
      <w:b/>
      <w:bCs/>
      <w:caps/>
      <w:color w:val="FFFFFF"/>
      <w:sz w:val="2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120" w:after="120"/>
      <w:outlineLvl w:val="1"/>
    </w:pPr>
    <w:rPr>
      <w:rFonts w:asciiTheme="majorHAnsi" w:eastAsiaTheme="majorEastAsia" w:hAnsiTheme="majorHAnsi" w:cstheme="majorBidi" w:ascii="Aptos Display" w:hAnsi="Aptos Display"/>
      <w:b/>
      <w:bCs/>
      <w:caps/>
      <w:color w:val="0A2F40"/>
      <w:sz w:val="2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 w:ascii="Aptos Display" w:hAnsi="Aptos Display"/>
      <w:b/>
      <w:bCs/>
      <w:color w:val="0A2F40"/>
      <w:sz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/>
      <w:color w:val="156082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Pathway assignment discussion worksheet</dc:title>
  <dc:subject>Module 6 — Role-Based Pathways and Scope Activation — Why role-based pathways exist</dc:subject>
  <dc:creator>AMOS I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