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Release authorization planning worksheet</w:t>
      </w:r>
    </w:p>
    <w:p>
      <w:pPr>
        <w:spacing w:before="0" w:after="200"/>
      </w:pPr>
      <w:r>
        <w:rPr>
          <w:b/>
        </w:rPr>
        <w:t>Module 8 — Readiness States, Milestones, and Release-to-Duty Controls</w:t>
        <w:br/>
      </w:r>
      <w:r>
        <w:t>Section 4 — Release-to-duty authorization</w:t>
        <w:br/>
      </w:r>
      <w:r>
        <w:t>Prepared for Adolbi Care — Behavioral Health Center at Cypress</w:t>
        <w:br/>
      </w:r>
      <w:r>
        <w:t>Authored by AMOS I</w:t>
      </w:r>
    </w:p>
    <w:p>
      <w:pPr>
        <w:pStyle w:val="Heading1"/>
        <w:shd w:fill="156082" w:val="clear"/>
      </w:pPr>
      <w:r>
        <w:t>Document purpose</w:t>
      </w:r>
    </w:p>
    <w:p>
      <w:r>
        <w:t>This editable worksheet helps teams prepare a release decision by identifying the evidence package, scope boundaries, and authorizing reviewer for one learner.</w:t>
      </w:r>
    </w:p>
    <w:p>
      <w:r>
        <w:t>Use the worksheet before final sign-off meetings so the release decision can be discussed through a structured evidence-and-scope lens rather than informal impressions alone.</w:t>
      </w:r>
    </w:p>
    <w:p>
      <w:pPr>
        <w:pStyle w:val="Heading1"/>
        <w:shd w:fill="156082" w:val="clear"/>
      </w:pPr>
      <w:r>
        <w:t>Section context</w:t>
      </w:r>
    </w:p>
    <w:p>
      <w:r>
        <w:t>This section teaches how final release decisions should be authorized, recorded, and bounded by role-family conditions rather than implied by schedule placement alone.</w:t>
      </w:r>
    </w:p>
    <w:p>
      <w:r>
        <w:t>Help leaders and supervisors understand what must be true before unrestricted duty is authorized and how release records should capture the decision clearly.</w:t>
      </w:r>
    </w:p>
    <w:p>
      <w:pPr>
        <w:pStyle w:val="Heading2"/>
        <w:shd w:fill="C1E4F5" w:val="clear"/>
      </w:pPr>
      <w:r>
        <w:t>Why this section matters</w:t>
      </w:r>
    </w:p>
    <w:p>
      <w:r>
        <w:t>Release-to-duty is the point where the organization declares that the learner may now perform within the approved scope without the earlier level of restriction. Because the risk is high, this decision should never be inferred casually from staffing need, roster placement, or verbal optimism.</w:t>
      </w:r>
    </w:p>
    <w:p>
      <w:r>
        <w:t>A defensible release decision requires that the readiness package be complete. Universal and pathway requirements should be satisfied, competency evidence should be strong enough, supervised practice should have been reviewed, and any missing-item or corrective concerns should have been resolved or intentionally controlled.</w:t>
      </w:r>
    </w:p>
    <w:p>
      <w:r>
        <w:t>This section teaches release as an authorization act. It should have a clear reviewer, a visible record, and role-family boundaries that specify exactly what has been approved and what would still require separate authority.</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Release must be explicit</w:t>
            </w:r>
          </w:p>
        </w:tc>
        <w:tc>
          <w:tcPr>
            <w:tcW w:type="dxa" w:w="4680"/>
          </w:tcPr>
          <w:p>
            <w:pPr>
              <w:spacing w:after="120"/>
            </w:pPr>
            <w:r>
              <w:t>Unrestricted duty should begin only after a real approval decision has been made and recorded.</w:t>
            </w:r>
          </w:p>
        </w:tc>
      </w:tr>
      <w:tr>
        <w:tc>
          <w:tcPr>
            <w:tcW w:type="dxa" w:w="4680"/>
          </w:tcPr>
          <w:p>
            <w:pPr>
              <w:spacing w:after="120"/>
            </w:pPr>
            <w:r>
              <w:t>The evidence package matters</w:t>
            </w:r>
          </w:p>
        </w:tc>
        <w:tc>
          <w:tcPr>
            <w:tcW w:type="dxa" w:w="4680"/>
          </w:tcPr>
          <w:p>
            <w:pPr>
              <w:spacing w:after="120"/>
            </w:pPr>
            <w:r>
              <w:t>Release should rest on reviewed readiness evidence rather than a feeling that the learner is probably ready.</w:t>
            </w:r>
          </w:p>
        </w:tc>
      </w:tr>
      <w:tr>
        <w:tc>
          <w:tcPr>
            <w:tcW w:type="dxa" w:w="4680"/>
          </w:tcPr>
          <w:p>
            <w:pPr>
              <w:spacing w:after="120"/>
            </w:pPr>
            <w:r>
              <w:t>Scope remains role-specific</w:t>
            </w:r>
          </w:p>
        </w:tc>
        <w:tc>
          <w:tcPr>
            <w:tcW w:type="dxa" w:w="4680"/>
          </w:tcPr>
          <w:p>
            <w:pPr>
              <w:spacing w:after="120"/>
            </w:pPr>
            <w:r>
              <w:t>Authorization applies to the approved role family and duties, not to every function in the organization.</w:t>
            </w:r>
          </w:p>
        </w:tc>
      </w:tr>
      <w:tr>
        <w:tc>
          <w:tcPr>
            <w:tcW w:type="dxa" w:w="4680"/>
          </w:tcPr>
          <w:p>
            <w:pPr>
              <w:spacing w:after="120"/>
            </w:pPr>
            <w:r>
              <w:t>Records protect the decision</w:t>
            </w:r>
          </w:p>
        </w:tc>
        <w:tc>
          <w:tcPr>
            <w:tcW w:type="dxa" w:w="4680"/>
          </w:tcPr>
          <w:p>
            <w:pPr>
              <w:spacing w:after="120"/>
            </w:pPr>
            <w:r>
              <w:t>A written release record makes the authorization explainable during supervision, quality review, or inspection.</w:t>
            </w:r>
          </w:p>
        </w:tc>
      </w:tr>
    </w:tbl>
    <w:p>
      <w:pPr>
        <w:pStyle w:val="Heading2"/>
        <w:shd w:fill="C1E4F5" w:val="clear"/>
      </w:pPr>
      <w:r>
        <w:t>Key reminders</w:t>
      </w:r>
    </w:p>
    <w:p>
      <w:pPr>
        <w:pStyle w:val="ListBullet"/>
        <w:spacing w:after="120"/>
        <w:ind w:left="720" w:hanging="360"/>
      </w:pPr>
      <w:r>
        <w:t>Release-to-duty should be an explicit authorization, not an accidental outcome of scheduling.</w:t>
      </w:r>
    </w:p>
    <w:p>
      <w:pPr>
        <w:pStyle w:val="ListBullet"/>
        <w:spacing w:after="120"/>
        <w:ind w:left="720" w:hanging="360"/>
      </w:pPr>
      <w:r>
        <w:t>Final approval depends on the full readiness package, not one strong impression alone.</w:t>
      </w:r>
    </w:p>
    <w:p>
      <w:pPr>
        <w:pStyle w:val="ListBullet"/>
        <w:spacing w:after="120"/>
        <w:ind w:left="720" w:hanging="360"/>
      </w:pPr>
      <w:r>
        <w:t>Release records should define what scope has been authorized and by whom.</w:t>
      </w:r>
    </w:p>
    <w:p>
      <w:r>
        <w:t>This lesson treats release as a formal control point. When the organization can name the approver, the evidence, and the scope, release becomes far easier to defend.</w:t>
      </w:r>
    </w:p>
    <w:p>
      <w:pPr>
        <w:pStyle w:val="Heading1"/>
        <w:shd w:fill="156082" w:val="clear"/>
      </w:pPr>
      <w:r>
        <w:t>Instructions</w:t>
      </w:r>
    </w:p>
    <w:p>
      <w:pPr>
        <w:pStyle w:val="ListBullet"/>
        <w:spacing w:after="120"/>
        <w:ind w:left="720" w:hanging="360"/>
      </w:pPr>
      <w:r>
        <w:t>Select one learner whose readiness state is approaching release review.</w:t>
      </w:r>
    </w:p>
    <w:p>
      <w:pPr>
        <w:pStyle w:val="ListBullet"/>
        <w:spacing w:after="120"/>
        <w:ind w:left="720" w:hanging="360"/>
      </w:pPr>
      <w:r>
        <w:t>List the evidence package that will be presented to the authorizing reviewer.</w:t>
      </w:r>
    </w:p>
    <w:p>
      <w:pPr>
        <w:pStyle w:val="ListBullet"/>
        <w:spacing w:after="120"/>
        <w:ind w:left="720" w:hanging="360"/>
      </w:pPr>
      <w:r>
        <w:t>State the exact scope being requested and any monitoring that must remain active after release.</w:t>
      </w:r>
    </w:p>
    <w:p>
      <w:pPr>
        <w:pStyle w:val="Heading1"/>
        <w:shd w:fill="156082" w:val="clear"/>
      </w:pPr>
      <w:r>
        <w:t>Worksheet and record fields</w:t>
      </w:r>
    </w:p>
    <w:p>
      <w:pPr>
        <w:pStyle w:val="Heading3"/>
      </w:pPr>
      <w:r>
        <w:t>Release decision preparation</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Learner</w:t>
            </w:r>
          </w:p>
        </w:tc>
        <w:tc>
          <w:tcPr>
            <w:tcW w:type="dxa" w:w="2340"/>
            <w:shd w:fill="0A2F40" w:val="clear"/>
          </w:tcPr>
          <w:p>
            <w:r>
              <w:rPr>
                <w:rFonts w:ascii="Aptos" w:hAnsi="Aptos"/>
                <w:b/>
                <w:color w:val="FFFFFF"/>
                <w:sz w:val="18"/>
              </w:rPr>
              <w:t>Requested role scope</w:t>
            </w:r>
          </w:p>
        </w:tc>
        <w:tc>
          <w:tcPr>
            <w:tcW w:type="dxa" w:w="2340"/>
            <w:shd w:fill="0A2F40" w:val="clear"/>
          </w:tcPr>
          <w:p>
            <w:r>
              <w:rPr>
                <w:rFonts w:ascii="Aptos" w:hAnsi="Aptos"/>
                <w:b/>
                <w:color w:val="FFFFFF"/>
                <w:sz w:val="18"/>
              </w:rPr>
              <w:t>Evidence package summary</w:t>
            </w:r>
          </w:p>
        </w:tc>
        <w:tc>
          <w:tcPr>
            <w:tcW w:type="dxa" w:w="2340"/>
            <w:shd w:fill="0A2F40" w:val="clear"/>
          </w:tcPr>
          <w:p>
            <w:r>
              <w:rPr>
                <w:rFonts w:ascii="Aptos" w:hAnsi="Aptos"/>
                <w:b/>
                <w:color w:val="FFFFFF"/>
                <w:sz w:val="18"/>
              </w:rPr>
              <w:t>Authorizing reviewer</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3"/>
      </w:pPr>
      <w:r>
        <w:t>Post-release control notes</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Monitoring still required</w:t>
            </w:r>
          </w:p>
        </w:tc>
        <w:tc>
          <w:tcPr>
            <w:tcW w:type="dxa" w:w="2340"/>
            <w:shd w:fill="0A2F40" w:val="clear"/>
          </w:tcPr>
          <w:p>
            <w:r>
              <w:rPr>
                <w:rFonts w:ascii="Aptos" w:hAnsi="Aptos"/>
                <w:b/>
                <w:color w:val="FFFFFF"/>
                <w:sz w:val="18"/>
              </w:rPr>
              <w:t>Restriction that remains</w:t>
            </w:r>
          </w:p>
        </w:tc>
        <w:tc>
          <w:tcPr>
            <w:tcW w:type="dxa" w:w="2340"/>
            <w:shd w:fill="0A2F40" w:val="clear"/>
          </w:tcPr>
          <w:p>
            <w:r>
              <w:rPr>
                <w:rFonts w:ascii="Aptos" w:hAnsi="Aptos"/>
                <w:b/>
                <w:color w:val="FFFFFF"/>
                <w:sz w:val="18"/>
              </w:rPr>
              <w:t>Reason for caution</w:t>
            </w:r>
          </w:p>
        </w:tc>
        <w:tc>
          <w:tcPr>
            <w:tcW w:type="dxa" w:w="2340"/>
            <w:shd w:fill="0A2F40" w:val="clear"/>
          </w:tcPr>
          <w:p>
            <w:r>
              <w:rPr>
                <w:rFonts w:ascii="Aptos" w:hAnsi="Aptos"/>
                <w:b/>
                <w:color w:val="FFFFFF"/>
                <w:sz w:val="18"/>
              </w:rPr>
              <w:t>Follow-up review date</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1"/>
        <w:shd w:fill="156082" w:val="clear"/>
      </w:pPr>
      <w:r>
        <w:t>Reflection and completion prompts</w:t>
      </w:r>
    </w:p>
    <w:p>
      <w:pPr>
        <w:pStyle w:val="ListBullet"/>
        <w:spacing w:after="120"/>
        <w:ind w:left="720" w:hanging="360"/>
      </w:pPr>
      <w:r>
        <w:t>What makes the requested release scope justified today?</w:t>
      </w:r>
    </w:p>
    <w:p>
      <w:pPr>
        <w:pStyle w:val="ListBullet"/>
        <w:spacing w:after="120"/>
        <w:ind w:left="720" w:hanging="360"/>
      </w:pPr>
      <w:r>
        <w:t>Which unresolved concern would argue for delaying or narrowing the authorization?</w:t>
      </w:r>
    </w:p>
    <w:p>
      <w:pPr>
        <w:pStyle w:val="ListBullet"/>
        <w:spacing w:after="120"/>
        <w:ind w:left="720" w:hanging="360"/>
      </w:pPr>
      <w:r>
        <w:t>How will the post-release review confirm that the authorization remains sound?</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Release authorization planning worksheet</dc:title>
  <dc:subject>Module 8 — Readiness States, Milestones, and Release-to-Duty Controls — Release-to-duty authorization</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