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spacing w:after="120"/>
        <w:jc w:val="left"/>
      </w:pPr>
      <w:r>
        <w:t>Remediation action planning worksheet</w:t>
      </w:r>
    </w:p>
    <w:p>
      <w:pPr>
        <w:spacing w:before="0" w:after="200"/>
      </w:pPr>
      <w:r>
        <w:rPr>
          <w:b/>
        </w:rPr>
        <w:t>Module 7 — Competency Verification and Multi-Method Evidence</w:t>
        <w:br/>
      </w:r>
      <w:r>
        <w:t>Section 5 — Sign-off, validation, and remediation triggers</w:t>
        <w:br/>
      </w:r>
      <w:r>
        <w:t>Prepared for Adolbi Care — Behavioral Health Center at Cypress</w:t>
        <w:br/>
      </w:r>
      <w:r>
        <w:t>Authored by AMOS I</w:t>
      </w:r>
    </w:p>
    <w:p>
      <w:pPr>
        <w:pStyle w:val="Heading1"/>
        <w:shd w:fill="156082" w:val="clear"/>
      </w:pPr>
      <w:r>
        <w:t>Document purpose</w:t>
      </w:r>
    </w:p>
    <w:p>
      <w:r>
        <w:t>This editable worksheet supports corrective action planning when competency evidence shows that the learner is not yet ready for release.</w:t>
      </w:r>
    </w:p>
    <w:p>
      <w:r>
        <w:t>Supervisors and validators can use the worksheet to define the failed standard, required remediation, support plan, and re-verification method.</w:t>
      </w:r>
    </w:p>
    <w:p>
      <w:pPr>
        <w:pStyle w:val="Heading1"/>
        <w:shd w:fill="156082" w:val="clear"/>
      </w:pPr>
      <w:r>
        <w:t>Section context</w:t>
      </w:r>
    </w:p>
    <w:p>
      <w:r>
        <w:t>This closing section explains how competency evidence is translated into a controlled decision: validation, delayed release, repeat verification, or remediation.</w:t>
      </w:r>
    </w:p>
    <w:p>
      <w:r>
        <w:t>Show how sign-off decisions should be structured, documented, and reversed when evidence remains incomplete or concerns are identified.</w:t>
      </w:r>
    </w:p>
    <w:p>
      <w:pPr>
        <w:pStyle w:val="Heading2"/>
        <w:shd w:fill="C1E4F5" w:val="clear"/>
      </w:pPr>
      <w:r>
        <w:t>Why this section matters</w:t>
      </w:r>
    </w:p>
    <w:p>
      <w:r>
        <w:t>A competency system only becomes meaningful when evidence leads to a clear decision. The organization must decide whether the learner has met the standard, needs additional supervised practice, requires remediation, or should remain restricted until missing proof is addressed.</w:t>
      </w:r>
    </w:p>
    <w:p>
      <w:r>
        <w:t>Sign-off therefore should not be treated as a casual endorsement. It is a documented statement that the learner’s evidence was reviewed by an authorized validator and judged sufficient for the scope of release being granted. If the evidence is thin, inconsistent, or contradicted by recent observations, sign-off should pause rather than stretch beyond what the proof can support.</w:t>
      </w:r>
    </w:p>
    <w:p>
      <w:r>
        <w:t>This closing section teaches validation as a controlled checkpoint. It also introduces remediation triggers so the organization can respond quickly when the learner fails a check, repeats a serious gap, or demonstrates that earlier evidence is no longer reliable enough to support release.</w:t>
      </w:r>
    </w:p>
    <w:p>
      <w:pPr>
        <w:pStyle w:val="Heading2"/>
        <w:shd w:fill="C1E4F5" w:val="clear"/>
      </w:pPr>
      <w:r>
        <w:t>Core practice frame</w:t>
      </w:r>
    </w:p>
    <w:p>
      <w:pPr>
        <w:pStyle w:val="Heading3"/>
      </w:pPr>
      <w:r>
        <w:t>Operational anchors</w:t>
      </w:r>
    </w:p>
    <w:tbl>
      <w:tblPr>
        <w:tblStyle w:val="TableGrid"/>
        <w:tblW w:type="auto" w:w="0"/>
        <w:jc w:val="left"/>
        <w:tblLook w:firstColumn="1" w:firstRow="1" w:lastColumn="0" w:lastRow="0" w:noHBand="0" w:noVBand="1" w:val="04A0"/>
      </w:tblPr>
      <w:tblGrid>
        <w:gridCol w:w="4680"/>
        <w:gridCol w:w="4680"/>
      </w:tblGrid>
      <w:tr>
        <w:tc>
          <w:tcPr>
            <w:tcW w:type="dxa" w:w="4680"/>
            <w:shd w:fill="0A2F40" w:val="clear"/>
          </w:tcPr>
          <w:p>
            <w:r>
              <w:rPr>
                <w:rFonts w:ascii="Aptos" w:hAnsi="Aptos"/>
                <w:b/>
                <w:color w:val="FFFFFF"/>
                <w:sz w:val="18"/>
              </w:rPr>
              <w:t>Anchor</w:t>
            </w:r>
          </w:p>
        </w:tc>
        <w:tc>
          <w:tcPr>
            <w:tcW w:type="dxa" w:w="4680"/>
            <w:shd w:fill="0A2F40" w:val="clear"/>
          </w:tcPr>
          <w:p>
            <w:r>
              <w:rPr>
                <w:rFonts w:ascii="Aptos" w:hAnsi="Aptos"/>
                <w:b/>
                <w:color w:val="FFFFFF"/>
                <w:sz w:val="18"/>
              </w:rPr>
              <w:t>Guidance</w:t>
            </w:r>
          </w:p>
        </w:tc>
      </w:tr>
      <w:tr>
        <w:tc>
          <w:tcPr>
            <w:tcW w:type="dxa" w:w="4680"/>
          </w:tcPr>
          <w:p>
            <w:pPr>
              <w:spacing w:after="120"/>
            </w:pPr>
            <w:r>
              <w:t>Sign-off should be role-appropriate</w:t>
            </w:r>
          </w:p>
        </w:tc>
        <w:tc>
          <w:tcPr>
            <w:tcW w:type="dxa" w:w="4680"/>
          </w:tcPr>
          <w:p>
            <w:pPr>
              <w:spacing w:after="120"/>
            </w:pPr>
            <w:r>
              <w:t>The validator and the scope of approval should match the learner’s pathway, risk level, and evidence burden.</w:t>
            </w:r>
          </w:p>
        </w:tc>
      </w:tr>
      <w:tr>
        <w:tc>
          <w:tcPr>
            <w:tcW w:type="dxa" w:w="4680"/>
          </w:tcPr>
          <w:p>
            <w:pPr>
              <w:spacing w:after="120"/>
            </w:pPr>
            <w:r>
              <w:t>Validation depends on complete review</w:t>
            </w:r>
          </w:p>
        </w:tc>
        <w:tc>
          <w:tcPr>
            <w:tcW w:type="dxa" w:w="4680"/>
          </w:tcPr>
          <w:p>
            <w:pPr>
              <w:spacing w:after="120"/>
            </w:pPr>
            <w:r>
              <w:t>A sign-off decision should consider observed practice, scenario results, documentation quality, and unresolved gaps together.</w:t>
            </w:r>
          </w:p>
        </w:tc>
      </w:tr>
      <w:tr>
        <w:tc>
          <w:tcPr>
            <w:tcW w:type="dxa" w:w="4680"/>
          </w:tcPr>
          <w:p>
            <w:pPr>
              <w:spacing w:after="120"/>
            </w:pPr>
            <w:r>
              <w:t>Remediation must be explicit</w:t>
            </w:r>
          </w:p>
        </w:tc>
        <w:tc>
          <w:tcPr>
            <w:tcW w:type="dxa" w:w="4680"/>
          </w:tcPr>
          <w:p>
            <w:pPr>
              <w:spacing w:after="120"/>
            </w:pPr>
            <w:r>
              <w:t>When the learner is not ready, the organization should define what failed, what corrective action is required, and what evidence will be needed next.</w:t>
            </w:r>
          </w:p>
        </w:tc>
      </w:tr>
      <w:tr>
        <w:tc>
          <w:tcPr>
            <w:tcW w:type="dxa" w:w="4680"/>
          </w:tcPr>
          <w:p>
            <w:pPr>
              <w:spacing w:after="120"/>
            </w:pPr>
            <w:r>
              <w:t>Readiness status can move backward</w:t>
            </w:r>
          </w:p>
        </w:tc>
        <w:tc>
          <w:tcPr>
            <w:tcW w:type="dxa" w:w="4680"/>
          </w:tcPr>
          <w:p>
            <w:pPr>
              <w:spacing w:after="120"/>
            </w:pPr>
            <w:r>
              <w:t>If significant concerns appear, the learner may need to return to restricted or supervised status until the problem is corrected and re-verified.</w:t>
            </w:r>
          </w:p>
        </w:tc>
      </w:tr>
    </w:tbl>
    <w:p>
      <w:pPr>
        <w:pStyle w:val="Heading2"/>
        <w:shd w:fill="C1E4F5" w:val="clear"/>
      </w:pPr>
      <w:r>
        <w:t>Key reminders</w:t>
      </w:r>
    </w:p>
    <w:p>
      <w:pPr>
        <w:pStyle w:val="ListBullet"/>
        <w:spacing w:after="120"/>
        <w:ind w:left="720" w:hanging="360"/>
      </w:pPr>
      <w:r>
        <w:t>Sign-off is a controlled readiness decision, not a courtesy approval.</w:t>
      </w:r>
    </w:p>
    <w:p>
      <w:pPr>
        <w:pStyle w:val="ListBullet"/>
        <w:spacing w:after="120"/>
        <w:ind w:left="720" w:hanging="360"/>
      </w:pPr>
      <w:r>
        <w:t>Validation should combine multiple evidence methods before release expands.</w:t>
      </w:r>
    </w:p>
    <w:p>
      <w:pPr>
        <w:pStyle w:val="ListBullet"/>
        <w:spacing w:after="120"/>
        <w:ind w:left="720" w:hanging="360"/>
      </w:pPr>
      <w:r>
        <w:t>Remediation triggers protect the organization when proof is incomplete, weak, or contradicted by performance concerns.</w:t>
      </w:r>
    </w:p>
    <w:p>
      <w:r>
        <w:t>Module 7 closes by connecting competency evidence to real release control: approve when the proof is sufficient, pause when it is not, and remediate when the gap creates risk.</w:t>
      </w:r>
    </w:p>
    <w:p>
      <w:pPr>
        <w:pStyle w:val="Heading1"/>
        <w:shd w:fill="156082" w:val="clear"/>
      </w:pPr>
      <w:r>
        <w:t>Instructions</w:t>
      </w:r>
    </w:p>
    <w:p>
      <w:pPr>
        <w:pStyle w:val="ListBullet"/>
        <w:spacing w:after="120"/>
        <w:ind w:left="720" w:hanging="360"/>
      </w:pPr>
      <w:r>
        <w:t>Describe the competency gap, failed check, or unresolved concern that blocked sign-off.</w:t>
      </w:r>
    </w:p>
    <w:p>
      <w:pPr>
        <w:pStyle w:val="ListBullet"/>
        <w:spacing w:after="120"/>
        <w:ind w:left="720" w:hanging="360"/>
      </w:pPr>
      <w:r>
        <w:t>State the corrective training, coaching, restriction, or supervised practice required before the learner can be reviewed again.</w:t>
      </w:r>
    </w:p>
    <w:p>
      <w:pPr>
        <w:pStyle w:val="ListBullet"/>
        <w:spacing w:after="120"/>
        <w:ind w:left="720" w:hanging="360"/>
      </w:pPr>
      <w:r>
        <w:t>Name the person responsible for follow-up and the evidence method that will be used for re-verification.</w:t>
      </w:r>
    </w:p>
    <w:p>
      <w:pPr>
        <w:pStyle w:val="Heading1"/>
        <w:shd w:fill="156082" w:val="clear"/>
      </w:pPr>
      <w:r>
        <w:t>Worksheet and record fields</w:t>
      </w:r>
    </w:p>
    <w:p>
      <w:pPr>
        <w:pStyle w:val="Heading3"/>
      </w:pPr>
      <w:r>
        <w:t>Remediation action plan</w:t>
      </w:r>
    </w:p>
    <w:tbl>
      <w:tblPr>
        <w:tblStyle w:val="TableGrid"/>
        <w:tblW w:type="auto" w:w="0"/>
        <w:jc w:val="left"/>
        <w:tblLook w:firstColumn="1" w:firstRow="1" w:lastColumn="0" w:lastRow="0" w:noHBand="0" w:noVBand="1" w:val="04A0"/>
      </w:tblPr>
      <w:tblGrid>
        <w:gridCol w:w="1872"/>
        <w:gridCol w:w="1872"/>
        <w:gridCol w:w="1872"/>
        <w:gridCol w:w="1872"/>
        <w:gridCol w:w="1872"/>
      </w:tblGrid>
      <w:tr>
        <w:tc>
          <w:tcPr>
            <w:tcW w:type="dxa" w:w="1872"/>
            <w:shd w:fill="0A2F40" w:val="clear"/>
          </w:tcPr>
          <w:p>
            <w:r>
              <w:rPr>
                <w:rFonts w:ascii="Aptos" w:hAnsi="Aptos"/>
                <w:b/>
                <w:color w:val="FFFFFF"/>
                <w:sz w:val="18"/>
              </w:rPr>
              <w:t>Gap or failed check</w:t>
            </w:r>
          </w:p>
        </w:tc>
        <w:tc>
          <w:tcPr>
            <w:tcW w:type="dxa" w:w="1872"/>
            <w:shd w:fill="0A2F40" w:val="clear"/>
          </w:tcPr>
          <w:p>
            <w:r>
              <w:rPr>
                <w:rFonts w:ascii="Aptos" w:hAnsi="Aptos"/>
                <w:b/>
                <w:color w:val="FFFFFF"/>
                <w:sz w:val="18"/>
              </w:rPr>
              <w:t>Risk created</w:t>
            </w:r>
          </w:p>
        </w:tc>
        <w:tc>
          <w:tcPr>
            <w:tcW w:type="dxa" w:w="1872"/>
            <w:shd w:fill="0A2F40" w:val="clear"/>
          </w:tcPr>
          <w:p>
            <w:r>
              <w:rPr>
                <w:rFonts w:ascii="Aptos" w:hAnsi="Aptos"/>
                <w:b/>
                <w:color w:val="FFFFFF"/>
                <w:sz w:val="18"/>
              </w:rPr>
              <w:t>Corrective action</w:t>
            </w:r>
          </w:p>
        </w:tc>
        <w:tc>
          <w:tcPr>
            <w:tcW w:type="dxa" w:w="1872"/>
            <w:shd w:fill="0A2F40" w:val="clear"/>
          </w:tcPr>
          <w:p>
            <w:r>
              <w:rPr>
                <w:rFonts w:ascii="Aptos" w:hAnsi="Aptos"/>
                <w:b/>
                <w:color w:val="FFFFFF"/>
                <w:sz w:val="18"/>
              </w:rPr>
              <w:t>Responsible reviewer</w:t>
            </w:r>
          </w:p>
        </w:tc>
        <w:tc>
          <w:tcPr>
            <w:tcW w:type="dxa" w:w="1872"/>
            <w:shd w:fill="0A2F40" w:val="clear"/>
          </w:tcPr>
          <w:p>
            <w:r>
              <w:rPr>
                <w:rFonts w:ascii="Aptos" w:hAnsi="Aptos"/>
                <w:b/>
                <w:color w:val="FFFFFF"/>
                <w:sz w:val="18"/>
              </w:rPr>
              <w:t>Re-verification method</w:t>
            </w:r>
          </w:p>
        </w:tc>
      </w:tr>
      <w:tr>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r>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r>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r>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c>
          <w:tcPr>
            <w:tcW w:type="dxa" w:w="1872"/>
          </w:tcPr>
          <w:p>
            <w:pPr>
              <w:spacing w:after="120"/>
            </w:pPr>
            <w:r/>
          </w:p>
        </w:tc>
      </w:tr>
    </w:tbl>
    <w:p>
      <w:pPr>
        <w:pStyle w:val="Heading1"/>
        <w:shd w:fill="156082" w:val="clear"/>
      </w:pPr>
      <w:r>
        <w:t>Reflection and completion prompts</w:t>
      </w:r>
    </w:p>
    <w:p>
      <w:pPr>
        <w:pStyle w:val="ListBullet"/>
        <w:spacing w:after="120"/>
        <w:ind w:left="720" w:hanging="360"/>
      </w:pPr>
      <w:r>
        <w:t>What exactly must improve before sign-off can be reconsidered?</w:t>
      </w:r>
    </w:p>
    <w:p>
      <w:pPr>
        <w:pStyle w:val="ListBullet"/>
        <w:spacing w:after="120"/>
        <w:ind w:left="720" w:hanging="360"/>
      </w:pPr>
      <w:r>
        <w:t>How will the organization know that remediation actually worked?</w:t>
      </w:r>
    </w:p>
    <w:p>
      <w:pPr>
        <w:pStyle w:val="ListBullet"/>
        <w:spacing w:after="120"/>
        <w:ind w:left="720" w:hanging="360"/>
      </w:pPr>
      <w:r>
        <w:t>Which restrictions should remain active until re-verification is complete?</w:t>
      </w:r>
    </w:p>
    <w:sectPr w:rsidR="00FC693F" w:rsidRPr="0006063C" w:rsidSect="00034616">
      <w:headerReference w:type="default" r:id="rId9"/>
      <w:pgSz w:w="12240" w:h="15840"/>
      <w:pgMar w:top="1440" w:right="1440" w:bottom="1440" w:left="1440" w:header="288"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tbl>
    <w:tblPr>
      <w:tblW w:type="auto" w:w="0"/>
      <w:jc w:val="left"/>
      <w:tblLayout w:type="fixed"/>
      <w:tblLook w:firstColumn="1" w:firstRow="1" w:lastColumn="0" w:lastRow="0" w:noHBand="0" w:noVBand="1" w:val="04A0"/>
      <w:tblBorders>
        <w:top w:val="nil"/>
        <w:left w:val="nil"/>
        <w:bottom w:val="nil"/>
        <w:right w:val="nil"/>
        <w:insideH w:val="nil"/>
        <w:insideV w:val="nil"/>
      </w:tblBorders>
    </w:tblPr>
    <w:tblGrid>
      <w:gridCol w:w="4680"/>
      <w:gridCol w:w="4680"/>
    </w:tblGrid>
    <w:tr>
      <w:tc>
        <w:tcPr>
          <w:tcW w:type="dxa" w:w="3024"/>
          <w:vAlign w:val="center"/>
        </w:tcPr>
        <w:p>
          <w:pPr>
            <w:spacing w:before="0" w:after="0"/>
            <w:jc w:val="left"/>
          </w:pPr>
          <w:r>
            <w:drawing>
              <wp:inline xmlns:a="http://schemas.openxmlformats.org/drawingml/2006/main" xmlns:pic="http://schemas.openxmlformats.org/drawingml/2006/picture">
                <wp:extent cx="1463040" cy="487680"/>
                <wp:docPr id="1" name="Picture 1"/>
                <wp:cNvGraphicFramePr>
                  <a:graphicFrameLocks noChangeAspect="1"/>
                </wp:cNvGraphicFramePr>
                <a:graphic>
                  <a:graphicData uri="http://schemas.openxmlformats.org/drawingml/2006/picture">
                    <pic:pic>
                      <pic:nvPicPr>
                        <pic:cNvPr id="0" name="logo_on_white.png"/>
                        <pic:cNvPicPr/>
                      </pic:nvPicPr>
                      <pic:blipFill>
                        <a:blip r:embed="rId1"/>
                        <a:stretch>
                          <a:fillRect/>
                        </a:stretch>
                      </pic:blipFill>
                      <pic:spPr>
                        <a:xfrm>
                          <a:off x="0" y="0"/>
                          <a:ext cx="1463040" cy="487680"/>
                        </a:xfrm>
                        <a:prstGeom prst="rect"/>
                      </pic:spPr>
                    </pic:pic>
                  </a:graphicData>
                </a:graphic>
              </wp:inline>
            </w:drawing>
          </w:r>
        </w:p>
      </w:tc>
      <w:tc>
        <w:tcPr>
          <w:tcW w:type="dxa" w:w="6336"/>
          <w:vAlign w:val="center"/>
          <w:shd w:fill="E97132" w:val="clear"/>
        </w:tcPr>
        <w:p>
          <w:pPr>
            <w:spacing w:before="0" w:after="0"/>
            <w:jc w:val="center"/>
          </w:pPr>
          <w:r>
            <w:rPr>
              <w:rFonts w:ascii="Aptos Display" w:hAnsi="Aptos Display"/>
              <w:b/>
              <w:color w:val="FFFFFF"/>
              <w:sz w:val="18"/>
            </w:rPr>
            <w:t>BEHAVIORAL HEALTH CENTER AT CYPRESS</w:t>
          </w:r>
        </w:p>
      </w:tc>
    </w:tr>
  </w:tbl>
  <w:p>
    <w:pPr>
      <w:spacing w:before="40" w:after="0"/>
      <w:pBdr>
        <w:bottom w:val="single" w:sz="12" w:space="1" w:color="156082"/>
      </w:pBd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spacing w:before="0" w:after="240" w:line="276" w:lineRule="auto"/>
    </w:pPr>
    <w:rPr>
      <w:rFonts w:ascii="Aptos" w:hAnsi="Aptos"/>
      <w:color w:val="000000"/>
      <w:sz w:val="20"/>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120" w:after="160"/>
      <w:outlineLvl w:val="0"/>
    </w:pPr>
    <w:rPr>
      <w:rFonts w:asciiTheme="majorHAnsi" w:eastAsiaTheme="majorEastAsia" w:hAnsiTheme="majorHAnsi" w:cstheme="majorBidi" w:ascii="Aptos Display" w:hAnsi="Aptos Display"/>
      <w:b/>
      <w:bCs/>
      <w:caps/>
      <w:color w:val="FFFFFF"/>
      <w:sz w:val="22"/>
      <w:szCs w:val="28"/>
    </w:rPr>
  </w:style>
  <w:style w:type="paragraph" w:styleId="Heading2">
    <w:name w:val="heading 2"/>
    <w:basedOn w:val="Normal"/>
    <w:next w:val="Normal"/>
    <w:link w:val="Heading2Char"/>
    <w:uiPriority w:val="9"/>
    <w:unhideWhenUsed/>
    <w:qFormat/>
    <w:rsid w:val="00FC693F"/>
    <w:pPr>
      <w:keepNext/>
      <w:keepLines/>
      <w:spacing w:before="120" w:after="120"/>
      <w:outlineLvl w:val="1"/>
    </w:pPr>
    <w:rPr>
      <w:rFonts w:asciiTheme="majorHAnsi" w:eastAsiaTheme="majorEastAsia" w:hAnsiTheme="majorHAnsi" w:cstheme="majorBidi" w:ascii="Aptos Display" w:hAnsi="Aptos Display"/>
      <w:b/>
      <w:bCs/>
      <w:caps/>
      <w:color w:val="0A2F40"/>
      <w:sz w:val="20"/>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Aptos Display" w:hAnsi="Aptos Display"/>
      <w:b/>
      <w:bCs/>
      <w:color w:val="0A2F40"/>
      <w:sz w:val="20"/>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ascii="Aptos Display" w:hAnsi="Aptos Display"/>
      <w:color w:val="156082"/>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Remediation action planning worksheet</dc:title>
  <dc:subject>Module 7 — Competency Verification and Multi-Method Evidence — Sign-off, validation, and remediation triggers</dc:subject>
  <dc:creator>AMOS I</dc:creator>
  <cp:keywords/>
  <dc:description>generated by python-docx</dc:description>
  <cp:lastModifiedBy/>
  <cp:revision>1</cp:revision>
  <dcterms:created xsi:type="dcterms:W3CDTF">2013-12-23T23:15:00Z</dcterms:created>
  <dcterms:modified xsi:type="dcterms:W3CDTF">2013-12-23T23:15:00Z</dcterms:modified>
  <cp:category/>
</cp:coreProperties>
</file>