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Resident-support observation checklist</w:t>
      </w:r>
    </w:p>
    <w:p>
      <w:pPr>
        <w:spacing w:before="0" w:after="200"/>
      </w:pPr>
      <w:r>
        <w:rPr>
          <w:b/>
        </w:rPr>
        <w:t>Module 6 — Role-Based Pathways and Scope Activation</w:t>
        <w:br/>
      </w:r>
      <w:r>
        <w:t>Section 2 — Direct care and residential staff pathway</w:t>
        <w:br/>
      </w:r>
      <w:r>
        <w:t>Prepared for Adolbi Care — Behavioral Health Center at Cypress</w:t>
        <w:br/>
      </w:r>
      <w:r>
        <w:t>Authored by AMOS I</w:t>
      </w:r>
    </w:p>
    <w:p>
      <w:pPr>
        <w:pStyle w:val="Heading1"/>
        <w:shd w:fill="156082" w:val="clear"/>
      </w:pPr>
      <w:r>
        <w:t>Document purpose</w:t>
      </w:r>
    </w:p>
    <w:p>
      <w:r>
        <w:t>This editable checklist supports supervised practice in daily support, environment awareness, communication, and escalation readiness for resident-facing work.</w:t>
      </w:r>
    </w:p>
    <w:p>
      <w:r>
        <w:t>Leads and supervisors can use the checklist during shadow shifts, coaching, or return demonstration when direct-care performance needs structured observation.</w:t>
      </w:r>
    </w:p>
    <w:p>
      <w:pPr>
        <w:pStyle w:val="Heading1"/>
        <w:shd w:fill="156082" w:val="clear"/>
      </w:pPr>
      <w:r>
        <w:t>Section context</w:t>
      </w:r>
    </w:p>
    <w:p>
      <w:r>
        <w:t>The second section focuses on the pathway most closely tied to resident-facing work, emphasizing routine supervision, behavior support, observation, documentation, and timely escalation.</w:t>
      </w:r>
    </w:p>
    <w:p>
      <w:r>
        <w:t>Teach learners what defines the direct-care and residential pathway so assignment decisions stay aligned with daily support duties, escalation expectations, and visible workflow reliability.</w:t>
      </w:r>
    </w:p>
    <w:p>
      <w:pPr>
        <w:pStyle w:val="Heading2"/>
        <w:shd w:fill="C1E4F5" w:val="clear"/>
      </w:pPr>
      <w:r>
        <w:t>Why this section matters</w:t>
      </w:r>
    </w:p>
    <w:p>
      <w:r>
        <w:t>Direct-care and residential staff carry much of the daily resident-facing work that makes the program feel safe, predictable, and responsive. Their pathway emphasizes consistent presence, observation, behavioral support, documentation, and disciplined escalation.</w:t>
      </w:r>
    </w:p>
    <w:p>
      <w:r>
        <w:t>This pathway is defined not only by visible tasks but by judgment under routine pressure. Staff must know when to continue support, when to redirect, when to document immediately, and when the issue has crossed into a lead, clinical, nursing, or Administrator concern.</w:t>
      </w:r>
    </w:p>
    <w:p>
      <w:r>
        <w:t>A strong activation model therefore centers repeatable performance rather than premature autonomy. Readiness should reflect steadiness, observational accuracy, and scope discipline inside ordinary residential work.</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Resident-facing reliability</w:t>
            </w:r>
          </w:p>
        </w:tc>
        <w:tc>
          <w:tcPr>
            <w:tcW w:type="dxa" w:w="4680"/>
          </w:tcPr>
          <w:p>
            <w:pPr>
              <w:spacing w:after="120"/>
            </w:pPr>
            <w:r>
              <w:t>The pathway centers consistent presence, stable routines, respectful support, and visible follow-through during ordinary operations.</w:t>
            </w:r>
          </w:p>
        </w:tc>
      </w:tr>
      <w:tr>
        <w:tc>
          <w:tcPr>
            <w:tcW w:type="dxa" w:w="4680"/>
          </w:tcPr>
          <w:p>
            <w:pPr>
              <w:spacing w:after="120"/>
            </w:pPr>
            <w:r>
              <w:t>Observation before assumption</w:t>
            </w:r>
          </w:p>
        </w:tc>
        <w:tc>
          <w:tcPr>
            <w:tcW w:type="dxa" w:w="4680"/>
          </w:tcPr>
          <w:p>
            <w:pPr>
              <w:spacing w:after="120"/>
            </w:pPr>
            <w:r>
              <w:t>Staff should notice behavior, mood, environment, and workflow changes early instead of waiting for obvious disruption.</w:t>
            </w:r>
          </w:p>
        </w:tc>
      </w:tr>
      <w:tr>
        <w:tc>
          <w:tcPr>
            <w:tcW w:type="dxa" w:w="4680"/>
          </w:tcPr>
          <w:p>
            <w:pPr>
              <w:spacing w:after="120"/>
            </w:pPr>
            <w:r>
              <w:t>Escalate when the issue crosses scope</w:t>
            </w:r>
          </w:p>
        </w:tc>
        <w:tc>
          <w:tcPr>
            <w:tcW w:type="dxa" w:w="4680"/>
          </w:tcPr>
          <w:p>
            <w:pPr>
              <w:spacing w:after="120"/>
            </w:pPr>
            <w:r>
              <w:t>Direct-care activation remains safe only when staff recognize when a concern requires higher-level involvement.</w:t>
            </w:r>
          </w:p>
        </w:tc>
      </w:tr>
      <w:tr>
        <w:tc>
          <w:tcPr>
            <w:tcW w:type="dxa" w:w="4680"/>
          </w:tcPr>
          <w:p>
            <w:pPr>
              <w:spacing w:after="120"/>
            </w:pPr>
            <w:r>
              <w:t>Document the work clearly</w:t>
            </w:r>
          </w:p>
        </w:tc>
        <w:tc>
          <w:tcPr>
            <w:tcW w:type="dxa" w:w="4680"/>
          </w:tcPr>
          <w:p>
            <w:pPr>
              <w:spacing w:after="120"/>
            </w:pPr>
            <w:r>
              <w:t>Resident-facing roles must produce documentation that supports continuity, incident review, and later readiness evaluation.</w:t>
            </w:r>
          </w:p>
        </w:tc>
      </w:tr>
    </w:tbl>
    <w:p>
      <w:pPr>
        <w:pStyle w:val="Heading2"/>
        <w:shd w:fill="C1E4F5" w:val="clear"/>
      </w:pPr>
      <w:r>
        <w:t>Key reminders</w:t>
      </w:r>
    </w:p>
    <w:p>
      <w:pPr>
        <w:pStyle w:val="ListBullet"/>
        <w:spacing w:after="120"/>
        <w:ind w:left="720" w:hanging="360"/>
      </w:pPr>
      <w:r>
        <w:t>Direct-care readiness depends on routine steadiness, not only task familiarity.</w:t>
      </w:r>
    </w:p>
    <w:p>
      <w:pPr>
        <w:pStyle w:val="ListBullet"/>
        <w:spacing w:after="120"/>
        <w:ind w:left="720" w:hanging="360"/>
      </w:pPr>
      <w:r>
        <w:t>Observation, escalation, and documentation are central parts of the pathway rather than side duties.</w:t>
      </w:r>
    </w:p>
    <w:p>
      <w:pPr>
        <w:pStyle w:val="ListBullet"/>
        <w:spacing w:after="120"/>
        <w:ind w:left="720" w:hanging="360"/>
      </w:pPr>
      <w:r>
        <w:t>The support set pairs teaching content with practical materials for supervised activation.</w:t>
      </w:r>
    </w:p>
    <w:p>
      <w:r>
        <w:t>The goal is not to show that a person has merely seen residential work. The goal is to show that the person can carry resident-facing duties reliably, remain inside scope, and communicate concerns before they become harder to manage.</w:t>
      </w:r>
    </w:p>
    <w:p>
      <w:pPr>
        <w:pStyle w:val="Heading1"/>
        <w:shd w:fill="156082" w:val="clear"/>
      </w:pPr>
      <w:r>
        <w:t>Instructions</w:t>
      </w:r>
    </w:p>
    <w:p>
      <w:pPr>
        <w:pStyle w:val="ListBullet"/>
        <w:spacing w:after="120"/>
        <w:ind w:left="720" w:hanging="360"/>
      </w:pPr>
      <w:r>
        <w:t>Use the checklist during ordinary residential work rather than only during exceptional incidents.</w:t>
      </w:r>
    </w:p>
    <w:p>
      <w:pPr>
        <w:pStyle w:val="ListBullet"/>
        <w:spacing w:after="120"/>
        <w:ind w:left="720" w:hanging="360"/>
      </w:pPr>
      <w:r>
        <w:t>Record visible examples of observation, communication, documentation, and escalation behavior.</w:t>
      </w:r>
    </w:p>
    <w:p>
      <w:pPr>
        <w:pStyle w:val="ListBullet"/>
        <w:spacing w:after="120"/>
        <w:ind w:left="720" w:hanging="360"/>
      </w:pPr>
      <w:r>
        <w:t>End by identifying one direct-care habit the learner should strengthen before broader assignment independence is considered.</w:t>
      </w:r>
    </w:p>
    <w:p>
      <w:pPr>
        <w:pStyle w:val="Heading1"/>
        <w:shd w:fill="156082" w:val="clear"/>
      </w:pPr>
      <w:r>
        <w:t>Worksheet and record fields</w:t>
      </w:r>
    </w:p>
    <w:p>
      <w:pPr>
        <w:pStyle w:val="Heading3"/>
      </w:pPr>
      <w:r>
        <w:t>Resident-support observation grid</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Observed task or moment</w:t>
            </w:r>
          </w:p>
        </w:tc>
        <w:tc>
          <w:tcPr>
            <w:tcW w:type="dxa" w:w="2340"/>
            <w:shd w:fill="0A2F40" w:val="clear"/>
          </w:tcPr>
          <w:p>
            <w:r>
              <w:rPr>
                <w:rFonts w:ascii="Aptos" w:hAnsi="Aptos"/>
                <w:b/>
                <w:color w:val="FFFFFF"/>
                <w:sz w:val="18"/>
              </w:rPr>
              <w:t>What the learner did well</w:t>
            </w:r>
          </w:p>
        </w:tc>
        <w:tc>
          <w:tcPr>
            <w:tcW w:type="dxa" w:w="2340"/>
            <w:shd w:fill="0A2F40" w:val="clear"/>
          </w:tcPr>
          <w:p>
            <w:r>
              <w:rPr>
                <w:rFonts w:ascii="Aptos" w:hAnsi="Aptos"/>
                <w:b/>
                <w:color w:val="FFFFFF"/>
                <w:sz w:val="18"/>
              </w:rPr>
              <w:t>What needs reinforcement</w:t>
            </w:r>
          </w:p>
        </w:tc>
        <w:tc>
          <w:tcPr>
            <w:tcW w:type="dxa" w:w="2340"/>
            <w:shd w:fill="0A2F40" w:val="clear"/>
          </w:tcPr>
          <w:p>
            <w:r>
              <w:rPr>
                <w:rFonts w:ascii="Aptos" w:hAnsi="Aptos"/>
                <w:b/>
                <w:color w:val="FFFFFF"/>
                <w:sz w:val="18"/>
              </w:rPr>
              <w:t>Did the issue cross scope?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Next-step coaching plan</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Habit to strengthen</w:t>
            </w:r>
          </w:p>
        </w:tc>
        <w:tc>
          <w:tcPr>
            <w:tcW w:type="dxa" w:w="2340"/>
            <w:shd w:fill="0A2F40" w:val="clear"/>
          </w:tcPr>
          <w:p>
            <w:r>
              <w:rPr>
                <w:rFonts w:ascii="Aptos" w:hAnsi="Aptos"/>
                <w:b/>
                <w:color w:val="FFFFFF"/>
                <w:sz w:val="18"/>
              </w:rPr>
              <w:t>Why it matters</w:t>
            </w:r>
          </w:p>
        </w:tc>
        <w:tc>
          <w:tcPr>
            <w:tcW w:type="dxa" w:w="2340"/>
            <w:shd w:fill="0A2F40" w:val="clear"/>
          </w:tcPr>
          <w:p>
            <w:r>
              <w:rPr>
                <w:rFonts w:ascii="Aptos" w:hAnsi="Aptos"/>
                <w:b/>
                <w:color w:val="FFFFFF"/>
                <w:sz w:val="18"/>
              </w:rPr>
              <w:t>Supervisor support</w:t>
            </w:r>
          </w:p>
        </w:tc>
        <w:tc>
          <w:tcPr>
            <w:tcW w:type="dxa" w:w="2340"/>
            <w:shd w:fill="0A2F40" w:val="clear"/>
          </w:tcPr>
          <w:p>
            <w:r>
              <w:rPr>
                <w:rFonts w:ascii="Aptos" w:hAnsi="Aptos"/>
                <w:b/>
                <w:color w:val="FFFFFF"/>
                <w:sz w:val="18"/>
              </w:rPr>
              <w:t>Review date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When did the learner demonstrate calm resident-facing reliability?</w:t>
      </w:r>
    </w:p>
    <w:p>
      <w:pPr>
        <w:pStyle w:val="ListBullet"/>
        <w:spacing w:after="120"/>
        <w:ind w:left="720" w:hanging="360"/>
      </w:pPr>
      <w:r>
        <w:t>Which observation or documentation behavior needs more consistency?</w:t>
      </w:r>
    </w:p>
    <w:p>
      <w:pPr>
        <w:pStyle w:val="ListBullet"/>
        <w:spacing w:after="120"/>
        <w:ind w:left="720" w:hanging="360"/>
      </w:pPr>
      <w:r>
        <w:t>How will you know the learner is escalating concerns early enough?</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Resident-support observation checklist</dc:title>
  <dc:subject>Module 6 — Role-Based Pathways and Scope Activation — Direct care and residential staff pathway</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