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spacing w:after="120"/>
        <w:jc w:val="left"/>
      </w:pPr>
      <w:r>
        <w:t>Response roles tabletop worksheet</w:t>
      </w:r>
    </w:p>
    <w:p>
      <w:pPr>
        <w:spacing w:before="0" w:after="200"/>
      </w:pPr>
      <w:r>
        <w:rPr>
          <w:b/>
        </w:rPr>
        <w:t>Module 3 — Universal Safety and Compliance</w:t>
        <w:br/>
      </w:r>
      <w:r>
        <w:t>Section 4 — Emergency readiness and response roles</w:t>
        <w:br/>
      </w:r>
      <w:r>
        <w:t>Prepared for Adolbi Care — Behavioral Health Center at Cypress</w:t>
        <w:br/>
      </w:r>
      <w:r>
        <w:t>Authored by AMOS I</w:t>
      </w:r>
    </w:p>
    <w:p>
      <w:pPr>
        <w:pStyle w:val="Heading1"/>
        <w:shd w:fill="156082" w:val="clear"/>
      </w:pPr>
      <w:r>
        <w:t>Document purpose</w:t>
      </w:r>
    </w:p>
    <w:p>
      <w:r>
        <w:t>This worksheet helps teams discuss who does what during urgent situations, what first actions belong within role, and where communication or escalation should go next.</w:t>
      </w:r>
    </w:p>
    <w:p>
      <w:r>
        <w:t>Supervisors can use it during orientation, drills, or team review sessions to strengthen shared role clarity before pressure rises.</w:t>
      </w:r>
    </w:p>
    <w:p>
      <w:pPr>
        <w:pStyle w:val="Heading1"/>
        <w:shd w:fill="156082" w:val="clear"/>
      </w:pPr>
      <w:r>
        <w:t>Section context</w:t>
      </w:r>
    </w:p>
    <w:p>
      <w:r>
        <w:t>This section introduces the importance of preparedness, helping staff understand how to recognize urgent conditions, take initial safe action, and communicate effectively during high-pressure moments.</w:t>
      </w:r>
    </w:p>
    <w:p>
      <w:r>
        <w:t>Prepare learners to think clearly about first actions, role clarity, and communication discipline when an urgent situation disrupts normal operations.</w:t>
      </w:r>
    </w:p>
    <w:p>
      <w:pPr>
        <w:pStyle w:val="Heading2"/>
        <w:shd w:fill="C1E4F5" w:val="clear"/>
      </w:pPr>
      <w:r>
        <w:t>Why this section matters</w:t>
      </w:r>
    </w:p>
    <w:p>
      <w:r>
        <w:t>Emergency readiness is not created in the moment of crisis. It is built beforehand through orientation, repetition, and role clarity. Staff should know that emergencies place unusual pressure on judgment, which is why first actions, communication routes, and site expectations need to be made visible before a serious event occurs.</w:t>
      </w:r>
    </w:p>
    <w:p>
      <w:r>
        <w:t>A useful framework for orientation is simple: recognize that conditions have changed, take the safest appropriate initial action within role, and communicate quickly through the correct pathway. Some situations may require immediate protective measures, others rapid notification, and others coordinated leadership direction. What matters most at the framework stage is helping staff understand that urgency does not remove the need for disciplined action.</w:t>
      </w:r>
    </w:p>
    <w:p>
      <w:r>
        <w:t>This section therefore introduces preparedness as both a safety and compliance issue. Teams respond better when they have a shared understanding of signals, roles, and escalation routes. Confusion during urgent events is often reduced when expectations are established well in advance.</w:t>
      </w:r>
    </w:p>
    <w:p>
      <w:pPr>
        <w:pStyle w:val="Heading2"/>
        <w:shd w:fill="C1E4F5" w:val="clear"/>
      </w:pPr>
      <w:r>
        <w:t>Core practice frame</w:t>
      </w:r>
    </w:p>
    <w:p>
      <w:pPr>
        <w:pStyle w:val="Heading3"/>
      </w:pPr>
      <w:r>
        <w:t>Operational anchors</w:t>
      </w:r>
    </w:p>
    <w:tbl>
      <w:tblPr>
        <w:tblStyle w:val="TableGrid"/>
        <w:tblW w:type="auto" w:w="0"/>
        <w:jc w:val="left"/>
        <w:tblLook w:firstColumn="1" w:firstRow="1" w:lastColumn="0" w:lastRow="0" w:noHBand="0" w:noVBand="1" w:val="04A0"/>
      </w:tblPr>
      <w:tblGrid>
        <w:gridCol w:w="4680"/>
        <w:gridCol w:w="4680"/>
      </w:tblGrid>
      <w:tr>
        <w:tc>
          <w:tcPr>
            <w:tcW w:type="dxa" w:w="4680"/>
            <w:shd w:fill="0A2F40" w:val="clear"/>
          </w:tcPr>
          <w:p>
            <w:r>
              <w:rPr>
                <w:rFonts w:ascii="Aptos" w:hAnsi="Aptos"/>
                <w:b/>
                <w:color w:val="FFFFFF"/>
                <w:sz w:val="18"/>
              </w:rPr>
              <w:t>Anchor</w:t>
            </w:r>
          </w:p>
        </w:tc>
        <w:tc>
          <w:tcPr>
            <w:tcW w:type="dxa" w:w="4680"/>
            <w:shd w:fill="0A2F40" w:val="clear"/>
          </w:tcPr>
          <w:p>
            <w:r>
              <w:rPr>
                <w:rFonts w:ascii="Aptos" w:hAnsi="Aptos"/>
                <w:b/>
                <w:color w:val="FFFFFF"/>
                <w:sz w:val="18"/>
              </w:rPr>
              <w:t>Guidance</w:t>
            </w:r>
          </w:p>
        </w:tc>
      </w:tr>
      <w:tr>
        <w:tc>
          <w:tcPr>
            <w:tcW w:type="dxa" w:w="4680"/>
          </w:tcPr>
          <w:p>
            <w:pPr>
              <w:spacing w:after="120"/>
            </w:pPr>
            <w:r>
              <w:t>Recognize changed conditions</w:t>
            </w:r>
          </w:p>
        </w:tc>
        <w:tc>
          <w:tcPr>
            <w:tcW w:type="dxa" w:w="4680"/>
          </w:tcPr>
          <w:p>
            <w:pPr>
              <w:spacing w:after="120"/>
            </w:pPr>
            <w:r>
              <w:t>Identify when routine operations have shifted into an urgent or potentially dangerous situation requiring immediate attention.</w:t>
            </w:r>
          </w:p>
        </w:tc>
      </w:tr>
      <w:tr>
        <w:tc>
          <w:tcPr>
            <w:tcW w:type="dxa" w:w="4680"/>
          </w:tcPr>
          <w:p>
            <w:pPr>
              <w:spacing w:after="120"/>
            </w:pPr>
            <w:r>
              <w:t>Take the first safe step</w:t>
            </w:r>
          </w:p>
        </w:tc>
        <w:tc>
          <w:tcPr>
            <w:tcW w:type="dxa" w:w="4680"/>
          </w:tcPr>
          <w:p>
            <w:pPr>
              <w:spacing w:after="120"/>
            </w:pPr>
            <w:r>
              <w:t>Act within role to protect people, secure the environment, or initiate the expected response without improvising beyond authority.</w:t>
            </w:r>
          </w:p>
        </w:tc>
      </w:tr>
      <w:tr>
        <w:tc>
          <w:tcPr>
            <w:tcW w:type="dxa" w:w="4680"/>
          </w:tcPr>
          <w:p>
            <w:pPr>
              <w:spacing w:after="120"/>
            </w:pPr>
            <w:r>
              <w:t>Communicate early</w:t>
            </w:r>
          </w:p>
        </w:tc>
        <w:tc>
          <w:tcPr>
            <w:tcW w:type="dxa" w:w="4680"/>
          </w:tcPr>
          <w:p>
            <w:pPr>
              <w:spacing w:after="120"/>
            </w:pPr>
            <w:r>
              <w:t>Notify the appropriate internal contact or leadership path promptly so the response can be coordinated and sustained.</w:t>
            </w:r>
          </w:p>
        </w:tc>
      </w:tr>
      <w:tr>
        <w:tc>
          <w:tcPr>
            <w:tcW w:type="dxa" w:w="4680"/>
          </w:tcPr>
          <w:p>
            <w:pPr>
              <w:spacing w:after="120"/>
            </w:pPr>
            <w:r>
              <w:t>Support orderly follow-through</w:t>
            </w:r>
          </w:p>
        </w:tc>
        <w:tc>
          <w:tcPr>
            <w:tcW w:type="dxa" w:w="4680"/>
          </w:tcPr>
          <w:p>
            <w:pPr>
              <w:spacing w:after="120"/>
            </w:pPr>
            <w:r>
              <w:t>After the initial response, assist with documentation, handoff, and post-event review as required by the situation.</w:t>
            </w:r>
          </w:p>
        </w:tc>
      </w:tr>
    </w:tbl>
    <w:p>
      <w:pPr>
        <w:pStyle w:val="Heading2"/>
        <w:shd w:fill="C1E4F5" w:val="clear"/>
      </w:pPr>
      <w:r>
        <w:t>Key reminders</w:t>
      </w:r>
    </w:p>
    <w:p>
      <w:pPr>
        <w:pStyle w:val="ListBullet"/>
        <w:spacing w:after="120"/>
        <w:ind w:left="720" w:hanging="360"/>
      </w:pPr>
      <w:r>
        <w:t>Preparedness depends on role clarity before pressure rises.</w:t>
      </w:r>
    </w:p>
    <w:p>
      <w:pPr>
        <w:pStyle w:val="ListBullet"/>
        <w:spacing w:after="120"/>
        <w:ind w:left="720" w:hanging="360"/>
      </w:pPr>
      <w:r>
        <w:t>Urgency does not remove the need for disciplined communication.</w:t>
      </w:r>
    </w:p>
    <w:p>
      <w:pPr>
        <w:pStyle w:val="ListBullet"/>
        <w:spacing w:after="120"/>
        <w:ind w:left="720" w:hanging="360"/>
      </w:pPr>
      <w:r>
        <w:t>Early recognition and first safe action often shape the rest of the response.</w:t>
      </w:r>
    </w:p>
    <w:p>
      <w:r>
        <w:t>The goal of emergency orientation is not to make staff memorize every scenario in one sitting. It is to give them a dependable first-action posture they can carry into unexpected moments.</w:t>
      </w:r>
    </w:p>
    <w:p>
      <w:pPr>
        <w:pStyle w:val="Heading1"/>
        <w:shd w:fill="156082" w:val="clear"/>
      </w:pPr>
      <w:r>
        <w:t>Instructions</w:t>
      </w:r>
    </w:p>
    <w:p>
      <w:pPr>
        <w:pStyle w:val="ListBullet"/>
        <w:spacing w:after="120"/>
        <w:ind w:left="720" w:hanging="360"/>
      </w:pPr>
      <w:r>
        <w:t>Choose a realistic urgent scenario and identify the first safe step before discussing advanced response actions.</w:t>
      </w:r>
    </w:p>
    <w:p>
      <w:pPr>
        <w:pStyle w:val="ListBullet"/>
        <w:spacing w:after="120"/>
        <w:ind w:left="720" w:hanging="360"/>
      </w:pPr>
      <w:r>
        <w:t>Ask learners to separate what they can do directly from what must be reported or coordinated.</w:t>
      </w:r>
    </w:p>
    <w:p>
      <w:pPr>
        <w:pStyle w:val="ListBullet"/>
        <w:spacing w:after="120"/>
        <w:ind w:left="720" w:hanging="360"/>
      </w:pPr>
      <w:r>
        <w:t>Use the final review to identify what information the next responder or leader would need immediately.</w:t>
      </w:r>
    </w:p>
    <w:p>
      <w:pPr>
        <w:pStyle w:val="Heading1"/>
        <w:shd w:fill="156082" w:val="clear"/>
      </w:pPr>
      <w:r>
        <w:t>Worksheet and record fields</w:t>
      </w:r>
    </w:p>
    <w:p>
      <w:pPr>
        <w:pStyle w:val="Heading3"/>
      </w:pPr>
      <w:r>
        <w:t>Tabletop scenario map</w:t>
      </w:r>
    </w:p>
    <w:tbl>
      <w:tblPr>
        <w:tblStyle w:val="TableGrid"/>
        <w:tblW w:type="auto" w:w="0"/>
        <w:jc w:val="left"/>
        <w:tblLook w:firstColumn="1" w:firstRow="1" w:lastColumn="0" w:lastRow="0" w:noHBand="0" w:noVBand="1" w:val="04A0"/>
      </w:tblPr>
      <w:tblGrid>
        <w:gridCol w:w="2340"/>
        <w:gridCol w:w="2340"/>
        <w:gridCol w:w="2340"/>
        <w:gridCol w:w="2340"/>
      </w:tblGrid>
      <w:tr>
        <w:tc>
          <w:tcPr>
            <w:tcW w:type="dxa" w:w="2340"/>
            <w:shd w:fill="0A2F40" w:val="clear"/>
          </w:tcPr>
          <w:p>
            <w:r>
              <w:rPr>
                <w:rFonts w:ascii="Aptos" w:hAnsi="Aptos"/>
                <w:b/>
                <w:color w:val="FFFFFF"/>
                <w:sz w:val="18"/>
              </w:rPr>
              <w:t>Scenario</w:t>
            </w:r>
          </w:p>
        </w:tc>
        <w:tc>
          <w:tcPr>
            <w:tcW w:type="dxa" w:w="2340"/>
            <w:shd w:fill="0A2F40" w:val="clear"/>
          </w:tcPr>
          <w:p>
            <w:r>
              <w:rPr>
                <w:rFonts w:ascii="Aptos" w:hAnsi="Aptos"/>
                <w:b/>
                <w:color w:val="FFFFFF"/>
                <w:sz w:val="18"/>
              </w:rPr>
              <w:t>First safe step</w:t>
            </w:r>
          </w:p>
        </w:tc>
        <w:tc>
          <w:tcPr>
            <w:tcW w:type="dxa" w:w="2340"/>
            <w:shd w:fill="0A2F40" w:val="clear"/>
          </w:tcPr>
          <w:p>
            <w:r>
              <w:rPr>
                <w:rFonts w:ascii="Aptos" w:hAnsi="Aptos"/>
                <w:b/>
                <w:color w:val="FFFFFF"/>
                <w:sz w:val="18"/>
              </w:rPr>
              <w:t>Who communicates next</w:t>
            </w:r>
          </w:p>
        </w:tc>
        <w:tc>
          <w:tcPr>
            <w:tcW w:type="dxa" w:w="2340"/>
            <w:shd w:fill="0A2F40" w:val="clear"/>
          </w:tcPr>
          <w:p>
            <w:r>
              <w:rPr>
                <w:rFonts w:ascii="Aptos" w:hAnsi="Aptos"/>
                <w:b/>
                <w:color w:val="FFFFFF"/>
                <w:sz w:val="18"/>
              </w:rPr>
              <w:t>What must be protected</w:t>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bl>
    <w:p>
      <w:pPr>
        <w:pStyle w:val="Heading3"/>
      </w:pPr>
      <w:r>
        <w:t>Post-event follow-through</w:t>
      </w:r>
    </w:p>
    <w:tbl>
      <w:tblPr>
        <w:tblStyle w:val="TableGrid"/>
        <w:tblW w:type="auto" w:w="0"/>
        <w:jc w:val="left"/>
        <w:tblLook w:firstColumn="1" w:firstRow="1" w:lastColumn="0" w:lastRow="0" w:noHBand="0" w:noVBand="1" w:val="04A0"/>
      </w:tblPr>
      <w:tblGrid>
        <w:gridCol w:w="3120"/>
        <w:gridCol w:w="3120"/>
        <w:gridCol w:w="3120"/>
      </w:tblGrid>
      <w:tr>
        <w:tc>
          <w:tcPr>
            <w:tcW w:type="dxa" w:w="3120"/>
            <w:shd w:fill="0A2F40" w:val="clear"/>
          </w:tcPr>
          <w:p>
            <w:r>
              <w:rPr>
                <w:rFonts w:ascii="Aptos" w:hAnsi="Aptos"/>
                <w:b/>
                <w:color w:val="FFFFFF"/>
                <w:sz w:val="18"/>
              </w:rPr>
              <w:t>What happened</w:t>
            </w:r>
          </w:p>
        </w:tc>
        <w:tc>
          <w:tcPr>
            <w:tcW w:type="dxa" w:w="3120"/>
            <w:shd w:fill="0A2F40" w:val="clear"/>
          </w:tcPr>
          <w:p>
            <w:r>
              <w:rPr>
                <w:rFonts w:ascii="Aptos" w:hAnsi="Aptos"/>
                <w:b/>
                <w:color w:val="FFFFFF"/>
                <w:sz w:val="18"/>
              </w:rPr>
              <w:t>What communication worked</w:t>
            </w:r>
          </w:p>
        </w:tc>
        <w:tc>
          <w:tcPr>
            <w:tcW w:type="dxa" w:w="3120"/>
            <w:shd w:fill="0A2F40" w:val="clear"/>
          </w:tcPr>
          <w:p>
            <w:r>
              <w:rPr>
                <w:rFonts w:ascii="Aptos" w:hAnsi="Aptos"/>
                <w:b/>
                <w:color w:val="FFFFFF"/>
                <w:sz w:val="18"/>
              </w:rPr>
              <w:t>What should improve next time</w:t>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bl>
    <w:p>
      <w:pPr>
        <w:pStyle w:val="Heading1"/>
        <w:shd w:fill="156082" w:val="clear"/>
      </w:pPr>
      <w:r>
        <w:t>Reflection and completion prompts</w:t>
      </w:r>
    </w:p>
    <w:p>
      <w:pPr>
        <w:pStyle w:val="ListBullet"/>
        <w:spacing w:after="120"/>
        <w:ind w:left="720" w:hanging="360"/>
      </w:pPr>
      <w:r>
        <w:t>How do you know when a situation has moved beyond routine operations?</w:t>
      </w:r>
    </w:p>
    <w:p>
      <w:pPr>
        <w:pStyle w:val="ListBullet"/>
        <w:spacing w:after="120"/>
        <w:ind w:left="720" w:hanging="360"/>
      </w:pPr>
      <w:r>
        <w:t>What makes a first action both safe and within role?</w:t>
      </w:r>
    </w:p>
    <w:sectPr w:rsidR="00FC693F" w:rsidRPr="0006063C" w:rsidSect="00034616">
      <w:headerReference w:type="default" r:id="rId9"/>
      <w:pgSz w:w="12240" w:h="15840"/>
      <w:pgMar w:top="1440" w:right="1440" w:bottom="1440" w:left="1440" w:header="288"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jc w:val="left"/>
      <w:tblLayout w:type="fixed"/>
      <w:tblLook w:firstColumn="1" w:firstRow="1" w:lastColumn="0" w:lastRow="0" w:noHBand="0" w:noVBand="1" w:val="04A0"/>
      <w:tblBorders>
        <w:top w:val="nil"/>
        <w:left w:val="nil"/>
        <w:bottom w:val="nil"/>
        <w:right w:val="nil"/>
        <w:insideH w:val="nil"/>
        <w:insideV w:val="nil"/>
      </w:tblBorders>
    </w:tblPr>
    <w:tblGrid>
      <w:gridCol w:w="4680"/>
      <w:gridCol w:w="4680"/>
    </w:tblGrid>
    <w:tr>
      <w:tc>
        <w:tcPr>
          <w:tcW w:type="dxa" w:w="3024"/>
          <w:vAlign w:val="center"/>
        </w:tcPr>
        <w:p>
          <w:pPr>
            <w:spacing w:before="0" w:after="0"/>
            <w:jc w:val="left"/>
          </w:pPr>
          <w:r>
            <w:drawing>
              <wp:inline xmlns:a="http://schemas.openxmlformats.org/drawingml/2006/main" xmlns:pic="http://schemas.openxmlformats.org/drawingml/2006/picture">
                <wp:extent cx="1463040" cy="487680"/>
                <wp:docPr id="1" name="Picture 1"/>
                <wp:cNvGraphicFramePr>
                  <a:graphicFrameLocks noChangeAspect="1"/>
                </wp:cNvGraphicFramePr>
                <a:graphic>
                  <a:graphicData uri="http://schemas.openxmlformats.org/drawingml/2006/picture">
                    <pic:pic>
                      <pic:nvPicPr>
                        <pic:cNvPr id="0" name="logo_on_white.png"/>
                        <pic:cNvPicPr/>
                      </pic:nvPicPr>
                      <pic:blipFill>
                        <a:blip r:embed="rId1"/>
                        <a:stretch>
                          <a:fillRect/>
                        </a:stretch>
                      </pic:blipFill>
                      <pic:spPr>
                        <a:xfrm>
                          <a:off x="0" y="0"/>
                          <a:ext cx="1463040" cy="487680"/>
                        </a:xfrm>
                        <a:prstGeom prst="rect"/>
                      </pic:spPr>
                    </pic:pic>
                  </a:graphicData>
                </a:graphic>
              </wp:inline>
            </w:drawing>
          </w:r>
        </w:p>
      </w:tc>
      <w:tc>
        <w:tcPr>
          <w:tcW w:type="dxa" w:w="6336"/>
          <w:vAlign w:val="center"/>
          <w:shd w:fill="E97132" w:val="clear"/>
        </w:tcPr>
        <w:p>
          <w:pPr>
            <w:spacing w:before="0" w:after="0"/>
            <w:jc w:val="center"/>
          </w:pPr>
          <w:r>
            <w:rPr>
              <w:rFonts w:ascii="Aptos Display" w:hAnsi="Aptos Display"/>
              <w:b/>
              <w:color w:val="FFFFFF"/>
              <w:sz w:val="18"/>
            </w:rPr>
            <w:t>BEHAVIORAL HEALTH CENTER AT CYPRESS</w:t>
          </w:r>
        </w:p>
      </w:tc>
    </w:tr>
  </w:tbl>
  <w:p>
    <w:pPr>
      <w:spacing w:before="40" w:after="0"/>
      <w:pBdr>
        <w:bottom w:val="single" w:sz="12" w:space="1" w:color="156082"/>
      </w:pBd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before="0" w:after="240" w:line="276" w:lineRule="auto"/>
    </w:pPr>
    <w:rPr>
      <w:rFonts w:ascii="Aptos" w:hAnsi="Aptos"/>
      <w:color w:val="000000"/>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120" w:after="160"/>
      <w:outlineLvl w:val="0"/>
    </w:pPr>
    <w:rPr>
      <w:rFonts w:asciiTheme="majorHAnsi" w:eastAsiaTheme="majorEastAsia" w:hAnsiTheme="majorHAnsi" w:cstheme="majorBidi" w:ascii="Aptos Display" w:hAnsi="Aptos Display"/>
      <w:b/>
      <w:bCs/>
      <w:caps/>
      <w:color w:val="FFFFFF"/>
      <w:sz w:val="22"/>
      <w:szCs w:val="28"/>
    </w:rPr>
  </w:style>
  <w:style w:type="paragraph" w:styleId="Heading2">
    <w:name w:val="heading 2"/>
    <w:basedOn w:val="Normal"/>
    <w:next w:val="Normal"/>
    <w:link w:val="Heading2Char"/>
    <w:uiPriority w:val="9"/>
    <w:unhideWhenUsed/>
    <w:qFormat/>
    <w:rsid w:val="00FC693F"/>
    <w:pPr>
      <w:keepNext/>
      <w:keepLines/>
      <w:spacing w:before="120" w:after="120"/>
      <w:outlineLvl w:val="1"/>
    </w:pPr>
    <w:rPr>
      <w:rFonts w:asciiTheme="majorHAnsi" w:eastAsiaTheme="majorEastAsia" w:hAnsiTheme="majorHAnsi" w:cstheme="majorBidi" w:ascii="Aptos Display" w:hAnsi="Aptos Display"/>
      <w:b/>
      <w:bCs/>
      <w:caps/>
      <w:color w:val="0A2F40"/>
      <w:sz w:val="20"/>
      <w:szCs w:val="26"/>
    </w:rPr>
  </w:style>
  <w:style w:type="paragraph" w:styleId="Heading3">
    <w:name w:val="heading 3"/>
    <w:basedOn w:val="Normal"/>
    <w:next w:val="Normal"/>
    <w:link w:val="Heading3Char"/>
    <w:uiPriority w:val="9"/>
    <w:unhideWhenUsed/>
    <w:qFormat/>
    <w:rsid w:val="00FC693F"/>
    <w:pPr>
      <w:keepNext/>
      <w:keepLines/>
      <w:spacing w:before="160" w:after="80"/>
      <w:outlineLvl w:val="2"/>
    </w:pPr>
    <w:rPr>
      <w:rFonts w:asciiTheme="majorHAnsi" w:eastAsiaTheme="majorEastAsia" w:hAnsiTheme="majorHAnsi" w:cstheme="majorBidi" w:ascii="Aptos Display" w:hAnsi="Aptos Display"/>
      <w:b/>
      <w:bCs/>
      <w:color w:val="0A2F40"/>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color w:val="156082"/>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Response roles tabletop worksheet</dc:title>
  <dc:subject>Module 3 — Universal Safety and Compliance — Emergency readiness and response roles</dc:subject>
  <dc:creator>AMOS I</dc:creator>
  <cp:keywords/>
  <dc:description>generated by python-docx</dc:description>
  <cp:lastModifiedBy/>
  <cp:revision>1</cp:revision>
  <dcterms:created xsi:type="dcterms:W3CDTF">2013-12-23T23:15:00Z</dcterms:created>
  <dcterms:modified xsi:type="dcterms:W3CDTF">2013-12-23T23:15:00Z</dcterms:modified>
  <cp:category/>
</cp:coreProperties>
</file>