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spacing w:after="120"/>
        <w:jc w:val="left"/>
      </w:pPr>
      <w:r>
        <w:t>Routine execution planning worksheet</w:t>
      </w:r>
    </w:p>
    <w:p>
      <w:pPr>
        <w:spacing w:before="0" w:after="200"/>
      </w:pPr>
      <w:r>
        <w:rPr>
          <w:b/>
        </w:rPr>
        <w:t>Module 4 — Operational Workflow</w:t>
        <w:br/>
      </w:r>
      <w:r>
        <w:t>Section 2 — Routine coordination and task flow</w:t>
        <w:br/>
      </w:r>
      <w:r>
        <w:t>Prepared for Adolbi Care — Behavioral Health Center at Cypress</w:t>
        <w:br/>
      </w:r>
      <w:r>
        <w:t>Authored by AMOS I</w:t>
      </w:r>
    </w:p>
    <w:p>
      <w:pPr>
        <w:pStyle w:val="Heading1"/>
        <w:shd w:fill="156082" w:val="clear"/>
      </w:pPr>
      <w:r>
        <w:t>Document purpose</w:t>
      </w:r>
    </w:p>
    <w:p>
      <w:r>
        <w:t>This editable worksheet helps learners map a recurring workflow, identify dependencies, and define the checkpoints that keep it reliable during busy operating periods.</w:t>
      </w:r>
    </w:p>
    <w:p>
      <w:r>
        <w:t>Supervisors can use the worksheet during orientation, retraining, or workflow redesign discussions when a routine needs to be broken down more clearly.</w:t>
      </w:r>
    </w:p>
    <w:p>
      <w:pPr>
        <w:pStyle w:val="Heading1"/>
        <w:shd w:fill="156082" w:val="clear"/>
      </w:pPr>
      <w:r>
        <w:t>Section context</w:t>
      </w:r>
    </w:p>
    <w:p>
      <w:r>
        <w:t>This section teaches how recurring daily work stays orderly when tasks are sequenced deliberately, responsibilities are coordinated visibly, and progress is checked rather than assumed.</w:t>
      </w:r>
    </w:p>
    <w:p>
      <w:r>
        <w:t>Show learners how routine workflow becomes dependable through sequencing, cross-role coordination, and visible confirmation of progress.</w:t>
      </w:r>
    </w:p>
    <w:p>
      <w:pPr>
        <w:pStyle w:val="Heading2"/>
        <w:shd w:fill="C1E4F5" w:val="clear"/>
      </w:pPr>
      <w:r>
        <w:t>Why this section matters</w:t>
      </w:r>
    </w:p>
    <w:p>
      <w:r>
        <w:t>Routine work often appears simple from a distance, but it becomes unstable when sequencing is weak. If staff do not understand what must happen first, what depends on what, or where coordination points exist, the shift can fill with duplication, omissions, and avoidable recovery work. This section teaches that task flow is a practical control system rather than a casual list of chores.</w:t>
      </w:r>
    </w:p>
    <w:p>
      <w:r>
        <w:t>Coordination requires more than assigning responsibility. Staff need to know how their work intersects with other roles, when a task is truly ready to move forward, and which checkpoints protect fragile steps from being missed. Teams that coordinate well usually make dependencies visible and confirm handoffs between steps instead of assuming progress because activity is occurring.</w:t>
      </w:r>
    </w:p>
    <w:p>
      <w:r>
        <w:t>Learners should leave this section with a stronger ability to distinguish busyness from structured movement. Operational reliability improves when routine work is sequenced intentionally, protected at its critical points, and reviewed often enough to catch drift before it becomes delay.</w:t>
      </w:r>
    </w:p>
    <w:p>
      <w:pPr>
        <w:pStyle w:val="Heading2"/>
        <w:shd w:fill="C1E4F5" w:val="clear"/>
      </w:pPr>
      <w:r>
        <w:t>Core practice frame</w:t>
      </w:r>
    </w:p>
    <w:p>
      <w:pPr>
        <w:pStyle w:val="Heading3"/>
      </w:pPr>
      <w:r>
        <w:t>Operational anchors</w:t>
      </w:r>
    </w:p>
    <w:tbl>
      <w:tblPr>
        <w:tblStyle w:val="TableGrid"/>
        <w:tblW w:type="auto" w:w="0"/>
        <w:jc w:val="left"/>
        <w:tblLook w:firstColumn="1" w:firstRow="1" w:lastColumn="0" w:lastRow="0" w:noHBand="0" w:noVBand="1" w:val="04A0"/>
      </w:tblPr>
      <w:tblGrid>
        <w:gridCol w:w="4680"/>
        <w:gridCol w:w="4680"/>
      </w:tblGrid>
      <w:tr>
        <w:tc>
          <w:tcPr>
            <w:tcW w:type="dxa" w:w="4680"/>
            <w:shd w:fill="0A2F40" w:val="clear"/>
          </w:tcPr>
          <w:p>
            <w:r>
              <w:rPr>
                <w:rFonts w:ascii="Aptos" w:hAnsi="Aptos"/>
                <w:b/>
                <w:color w:val="FFFFFF"/>
                <w:sz w:val="18"/>
              </w:rPr>
              <w:t>Anchor</w:t>
            </w:r>
          </w:p>
        </w:tc>
        <w:tc>
          <w:tcPr>
            <w:tcW w:type="dxa" w:w="4680"/>
            <w:shd w:fill="0A2F40" w:val="clear"/>
          </w:tcPr>
          <w:p>
            <w:r>
              <w:rPr>
                <w:rFonts w:ascii="Aptos" w:hAnsi="Aptos"/>
                <w:b/>
                <w:color w:val="FFFFFF"/>
                <w:sz w:val="18"/>
              </w:rPr>
              <w:t>Guidance</w:t>
            </w:r>
          </w:p>
        </w:tc>
      </w:tr>
      <w:tr>
        <w:tc>
          <w:tcPr>
            <w:tcW w:type="dxa" w:w="4680"/>
          </w:tcPr>
          <w:p>
            <w:pPr>
              <w:spacing w:after="120"/>
            </w:pPr>
            <w:r>
              <w:t>Sequence before accelerating</w:t>
            </w:r>
          </w:p>
        </w:tc>
        <w:tc>
          <w:tcPr>
            <w:tcW w:type="dxa" w:w="4680"/>
          </w:tcPr>
          <w:p>
            <w:pPr>
              <w:spacing w:after="120"/>
            </w:pPr>
            <w:r>
              <w:t>The team should know the order of important tasks and the dependencies that make one step ready for the next.</w:t>
            </w:r>
          </w:p>
        </w:tc>
      </w:tr>
      <w:tr>
        <w:tc>
          <w:tcPr>
            <w:tcW w:type="dxa" w:w="4680"/>
          </w:tcPr>
          <w:p>
            <w:pPr>
              <w:spacing w:after="120"/>
            </w:pPr>
            <w:r>
              <w:t>Coordinate across roles</w:t>
            </w:r>
          </w:p>
        </w:tc>
        <w:tc>
          <w:tcPr>
            <w:tcW w:type="dxa" w:w="4680"/>
          </w:tcPr>
          <w:p>
            <w:pPr>
              <w:spacing w:after="120"/>
            </w:pPr>
            <w:r>
              <w:t>Routine flow improves when staff understand where their work intersects with teammates, supervisors, and support functions.</w:t>
            </w:r>
          </w:p>
        </w:tc>
      </w:tr>
      <w:tr>
        <w:tc>
          <w:tcPr>
            <w:tcW w:type="dxa" w:w="4680"/>
          </w:tcPr>
          <w:p>
            <w:pPr>
              <w:spacing w:after="120"/>
            </w:pPr>
            <w:r>
              <w:t>Confirm movement, not motion</w:t>
            </w:r>
          </w:p>
        </w:tc>
        <w:tc>
          <w:tcPr>
            <w:tcW w:type="dxa" w:w="4680"/>
          </w:tcPr>
          <w:p>
            <w:pPr>
              <w:spacing w:after="120"/>
            </w:pPr>
            <w:r>
              <w:t>Visible progress comes from checking whether a step actually advanced instead of assuming activity equals completion.</w:t>
            </w:r>
          </w:p>
        </w:tc>
      </w:tr>
      <w:tr>
        <w:tc>
          <w:tcPr>
            <w:tcW w:type="dxa" w:w="4680"/>
          </w:tcPr>
          <w:p>
            <w:pPr>
              <w:spacing w:after="120"/>
            </w:pPr>
            <w:r>
              <w:t>Protect fragile tasks</w:t>
            </w:r>
          </w:p>
        </w:tc>
        <w:tc>
          <w:tcPr>
            <w:tcW w:type="dxa" w:w="4680"/>
          </w:tcPr>
          <w:p>
            <w:pPr>
              <w:spacing w:after="120"/>
            </w:pPr>
            <w:r>
              <w:t>Time-sensitive or dependency-heavy steps deserve earlier visibility and tighter follow-through than low-risk tasks.</w:t>
            </w:r>
          </w:p>
        </w:tc>
      </w:tr>
    </w:tbl>
    <w:p>
      <w:pPr>
        <w:pStyle w:val="Heading2"/>
        <w:shd w:fill="C1E4F5" w:val="clear"/>
      </w:pPr>
      <w:r>
        <w:t>Key reminders</w:t>
      </w:r>
    </w:p>
    <w:p>
      <w:pPr>
        <w:pStyle w:val="ListBullet"/>
        <w:spacing w:after="120"/>
        <w:ind w:left="720" w:hanging="360"/>
      </w:pPr>
      <w:r>
        <w:t>Ordered workflow prevents duplication and missed steps.</w:t>
      </w:r>
    </w:p>
    <w:p>
      <w:pPr>
        <w:pStyle w:val="ListBullet"/>
        <w:spacing w:after="120"/>
        <w:ind w:left="720" w:hanging="360"/>
      </w:pPr>
      <w:r>
        <w:t>Coordination depends on visible dependencies between roles.</w:t>
      </w:r>
    </w:p>
    <w:p>
      <w:pPr>
        <w:pStyle w:val="ListBullet"/>
        <w:spacing w:after="120"/>
        <w:ind w:left="720" w:hanging="360"/>
      </w:pPr>
      <w:r>
        <w:t>Confirmation protects routines from drifting off track.</w:t>
      </w:r>
    </w:p>
    <w:p>
      <w:r>
        <w:t>A shift can feel busy while still moving poorly. The goal of this section is to help learners recognize the structure that turns activity into reliable progression through the work.</w:t>
      </w:r>
    </w:p>
    <w:p>
      <w:pPr>
        <w:pStyle w:val="Heading1"/>
        <w:shd w:fill="156082" w:val="clear"/>
      </w:pPr>
      <w:r>
        <w:t>Instructions</w:t>
      </w:r>
    </w:p>
    <w:p>
      <w:pPr>
        <w:pStyle w:val="ListBullet"/>
        <w:spacing w:after="120"/>
        <w:ind w:left="720" w:hanging="360"/>
      </w:pPr>
      <w:r>
        <w:t>Ask the learner to map one recurring workflow that is common in their daily assignment.</w:t>
      </w:r>
    </w:p>
    <w:p>
      <w:pPr>
        <w:pStyle w:val="ListBullet"/>
        <w:spacing w:after="120"/>
        <w:ind w:left="720" w:hanging="360"/>
      </w:pPr>
      <w:r>
        <w:t>Encourage the learner to identify what makes each step ready to move forward and what would indicate drift.</w:t>
      </w:r>
    </w:p>
    <w:p>
      <w:pPr>
        <w:pStyle w:val="ListBullet"/>
        <w:spacing w:after="120"/>
        <w:ind w:left="720" w:hanging="360"/>
      </w:pPr>
      <w:r>
        <w:t>Use the final reflection section to capture one change that would make the routine more dependable next time.</w:t>
      </w:r>
    </w:p>
    <w:p>
      <w:pPr>
        <w:pStyle w:val="Heading1"/>
        <w:shd w:fill="156082" w:val="clear"/>
      </w:pPr>
      <w:r>
        <w:t>Worksheet and record fields</w:t>
      </w:r>
    </w:p>
    <w:p>
      <w:pPr>
        <w:pStyle w:val="Heading3"/>
      </w:pPr>
      <w:r>
        <w:t>Workflow sequence map</w:t>
      </w:r>
    </w:p>
    <w:tbl>
      <w:tblPr>
        <w:tblStyle w:val="TableGrid"/>
        <w:tblW w:type="auto" w:w="0"/>
        <w:jc w:val="left"/>
        <w:tblLook w:firstColumn="1" w:firstRow="1" w:lastColumn="0" w:lastRow="0" w:noHBand="0" w:noVBand="1" w:val="04A0"/>
      </w:tblPr>
      <w:tblGrid>
        <w:gridCol w:w="3120"/>
        <w:gridCol w:w="3120"/>
        <w:gridCol w:w="3120"/>
      </w:tblGrid>
      <w:tr>
        <w:tc>
          <w:tcPr>
            <w:tcW w:type="dxa" w:w="3120"/>
            <w:shd w:fill="0A2F40" w:val="clear"/>
          </w:tcPr>
          <w:p>
            <w:r>
              <w:rPr>
                <w:rFonts w:ascii="Aptos" w:hAnsi="Aptos"/>
                <w:b/>
                <w:color w:val="FFFFFF"/>
                <w:sz w:val="18"/>
              </w:rPr>
              <w:t>Step</w:t>
            </w:r>
          </w:p>
        </w:tc>
        <w:tc>
          <w:tcPr>
            <w:tcW w:type="dxa" w:w="3120"/>
            <w:shd w:fill="0A2F40" w:val="clear"/>
          </w:tcPr>
          <w:p>
            <w:r>
              <w:rPr>
                <w:rFonts w:ascii="Aptos" w:hAnsi="Aptos"/>
                <w:b/>
                <w:color w:val="FFFFFF"/>
                <w:sz w:val="18"/>
              </w:rPr>
              <w:t>Dependency or coordination point</w:t>
            </w:r>
          </w:p>
        </w:tc>
        <w:tc>
          <w:tcPr>
            <w:tcW w:type="dxa" w:w="3120"/>
            <w:shd w:fill="0A2F40" w:val="clear"/>
          </w:tcPr>
          <w:p>
            <w:r>
              <w:rPr>
                <w:rFonts w:ascii="Aptos" w:hAnsi="Aptos"/>
                <w:b/>
                <w:color w:val="FFFFFF"/>
                <w:sz w:val="18"/>
              </w:rPr>
              <w:t>How completion is confirmed</w:t>
            </w:r>
          </w:p>
        </w:tc>
      </w:tr>
      <w:tr>
        <w:tc>
          <w:tcPr>
            <w:tcW w:type="dxa" w:w="3120"/>
          </w:tcPr>
          <w:p>
            <w:pPr>
              <w:spacing w:after="120"/>
            </w:pPr>
            <w:r/>
          </w:p>
        </w:tc>
        <w:tc>
          <w:tcPr>
            <w:tcW w:type="dxa" w:w="3120"/>
          </w:tcPr>
          <w:p>
            <w:pPr>
              <w:spacing w:after="120"/>
            </w:pPr>
            <w:r/>
          </w:p>
        </w:tc>
        <w:tc>
          <w:tcPr>
            <w:tcW w:type="dxa" w:w="3120"/>
          </w:tcPr>
          <w:p>
            <w:pPr>
              <w:spacing w:after="120"/>
            </w:pPr>
            <w:r/>
          </w:p>
        </w:tc>
      </w:tr>
      <w:tr>
        <w:tc>
          <w:tcPr>
            <w:tcW w:type="dxa" w:w="3120"/>
          </w:tcPr>
          <w:p>
            <w:pPr>
              <w:spacing w:after="120"/>
            </w:pPr>
            <w:r/>
          </w:p>
        </w:tc>
        <w:tc>
          <w:tcPr>
            <w:tcW w:type="dxa" w:w="3120"/>
          </w:tcPr>
          <w:p>
            <w:pPr>
              <w:spacing w:after="120"/>
            </w:pPr>
            <w:r/>
          </w:p>
        </w:tc>
        <w:tc>
          <w:tcPr>
            <w:tcW w:type="dxa" w:w="3120"/>
          </w:tcPr>
          <w:p>
            <w:pPr>
              <w:spacing w:after="120"/>
            </w:pPr>
            <w:r/>
          </w:p>
        </w:tc>
      </w:tr>
      <w:tr>
        <w:tc>
          <w:tcPr>
            <w:tcW w:type="dxa" w:w="3120"/>
          </w:tcPr>
          <w:p>
            <w:pPr>
              <w:spacing w:after="120"/>
            </w:pPr>
            <w:r/>
          </w:p>
        </w:tc>
        <w:tc>
          <w:tcPr>
            <w:tcW w:type="dxa" w:w="3120"/>
          </w:tcPr>
          <w:p>
            <w:pPr>
              <w:spacing w:after="120"/>
            </w:pPr>
            <w:r/>
          </w:p>
        </w:tc>
        <w:tc>
          <w:tcPr>
            <w:tcW w:type="dxa" w:w="3120"/>
          </w:tcPr>
          <w:p>
            <w:pPr>
              <w:spacing w:after="120"/>
            </w:pPr>
            <w:r/>
          </w:p>
        </w:tc>
      </w:tr>
    </w:tbl>
    <w:p>
      <w:pPr>
        <w:pStyle w:val="Heading3"/>
      </w:pPr>
      <w:r>
        <w:t>Routine risk review</w:t>
      </w:r>
    </w:p>
    <w:tbl>
      <w:tblPr>
        <w:tblStyle w:val="TableGrid"/>
        <w:tblW w:type="auto" w:w="0"/>
        <w:jc w:val="left"/>
        <w:tblLook w:firstColumn="1" w:firstRow="1" w:lastColumn="0" w:lastRow="0" w:noHBand="0" w:noVBand="1" w:val="04A0"/>
      </w:tblPr>
      <w:tblGrid>
        <w:gridCol w:w="3120"/>
        <w:gridCol w:w="3120"/>
        <w:gridCol w:w="3120"/>
      </w:tblGrid>
      <w:tr>
        <w:tc>
          <w:tcPr>
            <w:tcW w:type="dxa" w:w="3120"/>
            <w:shd w:fill="0A2F40" w:val="clear"/>
          </w:tcPr>
          <w:p>
            <w:r>
              <w:rPr>
                <w:rFonts w:ascii="Aptos" w:hAnsi="Aptos"/>
                <w:b/>
                <w:color w:val="FFFFFF"/>
                <w:sz w:val="18"/>
              </w:rPr>
              <w:t>Where drift appears</w:t>
            </w:r>
          </w:p>
        </w:tc>
        <w:tc>
          <w:tcPr>
            <w:tcW w:type="dxa" w:w="3120"/>
            <w:shd w:fill="0A2F40" w:val="clear"/>
          </w:tcPr>
          <w:p>
            <w:r>
              <w:rPr>
                <w:rFonts w:ascii="Aptos" w:hAnsi="Aptos"/>
                <w:b/>
                <w:color w:val="FFFFFF"/>
                <w:sz w:val="18"/>
              </w:rPr>
              <w:t>Likely consequence</w:t>
            </w:r>
          </w:p>
        </w:tc>
        <w:tc>
          <w:tcPr>
            <w:tcW w:type="dxa" w:w="3120"/>
            <w:shd w:fill="0A2F40" w:val="clear"/>
          </w:tcPr>
          <w:p>
            <w:r>
              <w:rPr>
                <w:rFonts w:ascii="Aptos" w:hAnsi="Aptos"/>
                <w:b/>
                <w:color w:val="FFFFFF"/>
                <w:sz w:val="18"/>
              </w:rPr>
              <w:t>Protective action</w:t>
            </w:r>
          </w:p>
        </w:tc>
      </w:tr>
      <w:tr>
        <w:tc>
          <w:tcPr>
            <w:tcW w:type="dxa" w:w="3120"/>
          </w:tcPr>
          <w:p>
            <w:pPr>
              <w:spacing w:after="120"/>
            </w:pPr>
            <w:r/>
          </w:p>
        </w:tc>
        <w:tc>
          <w:tcPr>
            <w:tcW w:type="dxa" w:w="3120"/>
          </w:tcPr>
          <w:p>
            <w:pPr>
              <w:spacing w:after="120"/>
            </w:pPr>
            <w:r/>
          </w:p>
        </w:tc>
        <w:tc>
          <w:tcPr>
            <w:tcW w:type="dxa" w:w="3120"/>
          </w:tcPr>
          <w:p>
            <w:pPr>
              <w:spacing w:after="120"/>
            </w:pPr>
            <w:r/>
          </w:p>
        </w:tc>
      </w:tr>
      <w:tr>
        <w:tc>
          <w:tcPr>
            <w:tcW w:type="dxa" w:w="3120"/>
          </w:tcPr>
          <w:p>
            <w:pPr>
              <w:spacing w:after="120"/>
            </w:pPr>
            <w:r/>
          </w:p>
        </w:tc>
        <w:tc>
          <w:tcPr>
            <w:tcW w:type="dxa" w:w="3120"/>
          </w:tcPr>
          <w:p>
            <w:pPr>
              <w:spacing w:after="120"/>
            </w:pPr>
            <w:r/>
          </w:p>
        </w:tc>
        <w:tc>
          <w:tcPr>
            <w:tcW w:type="dxa" w:w="3120"/>
          </w:tcPr>
          <w:p>
            <w:pPr>
              <w:spacing w:after="120"/>
            </w:pPr>
            <w:r/>
          </w:p>
        </w:tc>
      </w:tr>
      <w:tr>
        <w:tc>
          <w:tcPr>
            <w:tcW w:type="dxa" w:w="3120"/>
          </w:tcPr>
          <w:p>
            <w:pPr>
              <w:spacing w:after="120"/>
            </w:pPr>
            <w:r/>
          </w:p>
        </w:tc>
        <w:tc>
          <w:tcPr>
            <w:tcW w:type="dxa" w:w="3120"/>
          </w:tcPr>
          <w:p>
            <w:pPr>
              <w:spacing w:after="120"/>
            </w:pPr>
            <w:r/>
          </w:p>
        </w:tc>
        <w:tc>
          <w:tcPr>
            <w:tcW w:type="dxa" w:w="3120"/>
          </w:tcPr>
          <w:p>
            <w:pPr>
              <w:spacing w:after="120"/>
            </w:pPr>
            <w:r/>
          </w:p>
        </w:tc>
      </w:tr>
    </w:tbl>
    <w:p>
      <w:pPr>
        <w:pStyle w:val="Heading1"/>
        <w:shd w:fill="156082" w:val="clear"/>
      </w:pPr>
      <w:r>
        <w:t>Reflection and completion prompts</w:t>
      </w:r>
    </w:p>
    <w:p>
      <w:pPr>
        <w:pStyle w:val="ListBullet"/>
        <w:spacing w:after="120"/>
        <w:ind w:left="720" w:hanging="360"/>
      </w:pPr>
      <w:r>
        <w:t>Describe a routine that looks simple until sequencing begins to slip.</w:t>
      </w:r>
    </w:p>
    <w:p>
      <w:pPr>
        <w:pStyle w:val="ListBullet"/>
        <w:spacing w:after="120"/>
        <w:ind w:left="720" w:hanging="360"/>
      </w:pPr>
      <w:r>
        <w:t>What confirmation point would most improve workflow reliability in that routine?</w:t>
      </w:r>
    </w:p>
    <w:p>
      <w:pPr>
        <w:pStyle w:val="ListBullet"/>
        <w:spacing w:after="120"/>
        <w:ind w:left="720" w:hanging="360"/>
      </w:pPr>
      <w:r>
        <w:t>Which dependency in your routine deserves earlier visibility?</w:t>
      </w:r>
    </w:p>
    <w:sectPr w:rsidR="00FC693F" w:rsidRPr="0006063C" w:rsidSect="00034616">
      <w:headerReference w:type="default" r:id="rId9"/>
      <w:pgSz w:w="12240" w:h="15840"/>
      <w:pgMar w:top="1440" w:right="1440" w:bottom="1440" w:left="1440" w:header="288"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pPr>
  </w:p>
  <w:tbl>
    <w:tblPr>
      <w:tblW w:type="auto" w:w="0"/>
      <w:jc w:val="left"/>
      <w:tblLayout w:type="fixed"/>
      <w:tblLook w:firstColumn="1" w:firstRow="1" w:lastColumn="0" w:lastRow="0" w:noHBand="0" w:noVBand="1" w:val="04A0"/>
      <w:tblBorders>
        <w:top w:val="nil"/>
        <w:left w:val="nil"/>
        <w:bottom w:val="nil"/>
        <w:right w:val="nil"/>
        <w:insideH w:val="nil"/>
        <w:insideV w:val="nil"/>
      </w:tblBorders>
    </w:tblPr>
    <w:tblGrid>
      <w:gridCol w:w="4680"/>
      <w:gridCol w:w="4680"/>
    </w:tblGrid>
    <w:tr>
      <w:tc>
        <w:tcPr>
          <w:tcW w:type="dxa" w:w="3024"/>
          <w:vAlign w:val="center"/>
        </w:tcPr>
        <w:p>
          <w:pPr>
            <w:spacing w:before="0" w:after="0"/>
            <w:jc w:val="left"/>
          </w:pPr>
          <w:r>
            <w:drawing>
              <wp:inline xmlns:a="http://schemas.openxmlformats.org/drawingml/2006/main" xmlns:pic="http://schemas.openxmlformats.org/drawingml/2006/picture">
                <wp:extent cx="1463040" cy="487680"/>
                <wp:docPr id="1" name="Picture 1"/>
                <wp:cNvGraphicFramePr>
                  <a:graphicFrameLocks noChangeAspect="1"/>
                </wp:cNvGraphicFramePr>
                <a:graphic>
                  <a:graphicData uri="http://schemas.openxmlformats.org/drawingml/2006/picture">
                    <pic:pic>
                      <pic:nvPicPr>
                        <pic:cNvPr id="0" name="logo_on_white.png"/>
                        <pic:cNvPicPr/>
                      </pic:nvPicPr>
                      <pic:blipFill>
                        <a:blip r:embed="rId1"/>
                        <a:stretch>
                          <a:fillRect/>
                        </a:stretch>
                      </pic:blipFill>
                      <pic:spPr>
                        <a:xfrm>
                          <a:off x="0" y="0"/>
                          <a:ext cx="1463040" cy="487680"/>
                        </a:xfrm>
                        <a:prstGeom prst="rect"/>
                      </pic:spPr>
                    </pic:pic>
                  </a:graphicData>
                </a:graphic>
              </wp:inline>
            </w:drawing>
          </w:r>
        </w:p>
      </w:tc>
      <w:tc>
        <w:tcPr>
          <w:tcW w:type="dxa" w:w="6336"/>
          <w:vAlign w:val="center"/>
          <w:shd w:fill="E97132" w:val="clear"/>
        </w:tcPr>
        <w:p>
          <w:pPr>
            <w:spacing w:before="0" w:after="0"/>
            <w:jc w:val="center"/>
          </w:pPr>
          <w:r>
            <w:rPr>
              <w:rFonts w:ascii="Aptos Display" w:hAnsi="Aptos Display"/>
              <w:b/>
              <w:color w:val="FFFFFF"/>
              <w:sz w:val="18"/>
            </w:rPr>
            <w:t>BEHAVIORAL HEALTH CENTER AT CYPRESS</w:t>
          </w:r>
        </w:p>
      </w:tc>
    </w:tr>
  </w:tbl>
  <w:p>
    <w:pPr>
      <w:spacing w:before="40" w:after="0"/>
      <w:pBdr>
        <w:bottom w:val="single" w:sz="12" w:space="1" w:color="156082"/>
      </w:pBd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before="0" w:after="240" w:line="276" w:lineRule="auto"/>
    </w:pPr>
    <w:rPr>
      <w:rFonts w:ascii="Aptos" w:hAnsi="Aptos"/>
      <w:color w:val="000000"/>
      <w:sz w:val="20"/>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120" w:after="160"/>
      <w:outlineLvl w:val="0"/>
    </w:pPr>
    <w:rPr>
      <w:rFonts w:asciiTheme="majorHAnsi" w:eastAsiaTheme="majorEastAsia" w:hAnsiTheme="majorHAnsi" w:cstheme="majorBidi" w:ascii="Aptos Display" w:hAnsi="Aptos Display"/>
      <w:b/>
      <w:bCs/>
      <w:caps/>
      <w:color w:val="FFFFFF"/>
      <w:sz w:val="22"/>
      <w:szCs w:val="28"/>
    </w:rPr>
  </w:style>
  <w:style w:type="paragraph" w:styleId="Heading2">
    <w:name w:val="heading 2"/>
    <w:basedOn w:val="Normal"/>
    <w:next w:val="Normal"/>
    <w:link w:val="Heading2Char"/>
    <w:uiPriority w:val="9"/>
    <w:unhideWhenUsed/>
    <w:qFormat/>
    <w:rsid w:val="00FC693F"/>
    <w:pPr>
      <w:keepNext/>
      <w:keepLines/>
      <w:spacing w:before="120" w:after="120"/>
      <w:outlineLvl w:val="1"/>
    </w:pPr>
    <w:rPr>
      <w:rFonts w:asciiTheme="majorHAnsi" w:eastAsiaTheme="majorEastAsia" w:hAnsiTheme="majorHAnsi" w:cstheme="majorBidi" w:ascii="Aptos Display" w:hAnsi="Aptos Display"/>
      <w:b/>
      <w:bCs/>
      <w:caps/>
      <w:color w:val="0A2F40"/>
      <w:sz w:val="20"/>
      <w:szCs w:val="26"/>
    </w:rPr>
  </w:style>
  <w:style w:type="paragraph" w:styleId="Heading3">
    <w:name w:val="heading 3"/>
    <w:basedOn w:val="Normal"/>
    <w:next w:val="Normal"/>
    <w:link w:val="Heading3Char"/>
    <w:uiPriority w:val="9"/>
    <w:unhideWhenUsed/>
    <w:qFormat/>
    <w:rsid w:val="00FC693F"/>
    <w:pPr>
      <w:keepNext/>
      <w:keepLines/>
      <w:spacing w:before="160" w:after="80"/>
      <w:outlineLvl w:val="2"/>
    </w:pPr>
    <w:rPr>
      <w:rFonts w:asciiTheme="majorHAnsi" w:eastAsiaTheme="majorEastAsia" w:hAnsiTheme="majorHAnsi" w:cstheme="majorBidi" w:ascii="Aptos Display" w:hAnsi="Aptos Display"/>
      <w:b/>
      <w:bCs/>
      <w:color w:val="0A2F40"/>
      <w:sz w:val="20"/>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ascii="Aptos Display" w:hAnsi="Aptos Display"/>
      <w:color w:val="156082"/>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Routine execution planning worksheet</dc:title>
  <dc:subject>Module 4 — Operational Workflow — Routine coordination and task flow</dc:subject>
  <dc:creator>AMOS I</dc:creator>
  <cp:keywords/>
  <dc:description>generated by python-docx</dc:description>
  <cp:lastModifiedBy/>
  <cp:revision>1</cp:revision>
  <dcterms:created xsi:type="dcterms:W3CDTF">2013-12-23T23:15:00Z</dcterms:created>
  <dcterms:modified xsi:type="dcterms:W3CDTF">2013-12-23T23:15:00Z</dcterms:modified>
  <cp:category/>
</cp:coreProperties>
</file>