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Safety culture discussion worksheet</w:t>
      </w:r>
    </w:p>
    <w:p>
      <w:pPr>
        <w:spacing w:before="0" w:after="200"/>
      </w:pPr>
      <w:r>
        <w:rPr>
          <w:b/>
        </w:rPr>
        <w:t>Module 3 — Universal Safety and Compliance</w:t>
        <w:br/>
      </w:r>
      <w:r>
        <w:t>Section 5 — Reporting, follow-through, and safety culture</w:t>
        <w:br/>
      </w:r>
      <w:r>
        <w:t>Prepared for Adolbi Care — Behavioral Health Center at Cypress</w:t>
        <w:br/>
      </w:r>
      <w:r>
        <w:t>Authored by AMOS I</w:t>
      </w:r>
    </w:p>
    <w:p>
      <w:pPr>
        <w:pStyle w:val="Heading1"/>
        <w:shd w:fill="156082" w:val="clear"/>
      </w:pPr>
      <w:r>
        <w:t>Document purpose</w:t>
      </w:r>
    </w:p>
    <w:p>
      <w:r>
        <w:t>This worksheet supports discussion about barriers to reporting, visible follow-through, and the habits that help a safety culture feel trustworthy in practice.</w:t>
      </w:r>
    </w:p>
    <w:p>
      <w:r>
        <w:t>Facilitators can use it during orientation closeout, supervision, or team conversation when staff need to reflect on how reporting culture is experienced on the ground.</w:t>
      </w:r>
    </w:p>
    <w:p>
      <w:pPr>
        <w:pStyle w:val="Heading1"/>
        <w:shd w:fill="156082" w:val="clear"/>
      </w:pPr>
      <w:r>
        <w:t>Section context</w:t>
      </w:r>
    </w:p>
    <w:p>
      <w:r>
        <w:t>This closing section ties observation, documentation, communication, and improvement together so learners understand how safety concerns become organizational learning instead of isolated events.</w:t>
      </w:r>
    </w:p>
    <w:p>
      <w:r>
        <w:t>Show learners how reporting and review support a stronger safety culture by turning observed concerns into action, documentation, and improvement.</w:t>
      </w:r>
    </w:p>
    <w:p>
      <w:pPr>
        <w:pStyle w:val="Heading2"/>
        <w:shd w:fill="C1E4F5" w:val="clear"/>
      </w:pPr>
      <w:r>
        <w:t>Why this section matters</w:t>
      </w:r>
    </w:p>
    <w:p>
      <w:r>
        <w:t>A safe organization depends not only on noticing risk but also on what happens afterward. Concerns should be documented appropriately, routed through the proper channels, reviewed with seriousness, and followed through until the issue is understood or resolved. Without this loop, the same problems can recur and staff may lose confidence that speaking up matters.</w:t>
      </w:r>
    </w:p>
    <w:p>
      <w:r>
        <w:t>Safety culture improves when people can see that reporting leads somewhere. Staff should understand that good reporting is not about blame. It is about making information visible early enough for leaders and teams to respond, correct conditions, and learn from patterns over time. That learning posture strengthens both safety and trust.</w:t>
      </w:r>
    </w:p>
    <w:p>
      <w:r>
        <w:t>This final section gives Module 3 a clear closing logic. Prevention, awareness, exposure control, and emergency readiness all depend on a system that receives information and acts on it. Reporting and follow-through therefore complete the module's overall message: safe practice is sustained through disciplined observation, communication, documentation, and review.</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Report with clarity</w:t>
            </w:r>
          </w:p>
        </w:tc>
        <w:tc>
          <w:tcPr>
            <w:tcW w:type="dxa" w:w="4680"/>
          </w:tcPr>
          <w:p>
            <w:pPr>
              <w:spacing w:after="120"/>
            </w:pPr>
            <w:r>
              <w:t>Provide timely, relevant information so leaders and teams can understand the concern and respond appropriately.</w:t>
            </w:r>
          </w:p>
        </w:tc>
      </w:tr>
      <w:tr>
        <w:tc>
          <w:tcPr>
            <w:tcW w:type="dxa" w:w="4680"/>
          </w:tcPr>
          <w:p>
            <w:pPr>
              <w:spacing w:after="120"/>
            </w:pPr>
            <w:r>
              <w:t>Document what matters</w:t>
            </w:r>
          </w:p>
        </w:tc>
        <w:tc>
          <w:tcPr>
            <w:tcW w:type="dxa" w:w="4680"/>
          </w:tcPr>
          <w:p>
            <w:pPr>
              <w:spacing w:after="120"/>
            </w:pPr>
            <w:r>
              <w:t>Create records that reflect observed conditions, actions taken, and outstanding issues requiring review or follow-up.</w:t>
            </w:r>
          </w:p>
        </w:tc>
      </w:tr>
      <w:tr>
        <w:tc>
          <w:tcPr>
            <w:tcW w:type="dxa" w:w="4680"/>
          </w:tcPr>
          <w:p>
            <w:pPr>
              <w:spacing w:after="120"/>
            </w:pPr>
            <w:r>
              <w:t>Support review and correction</w:t>
            </w:r>
          </w:p>
        </w:tc>
        <w:tc>
          <w:tcPr>
            <w:tcW w:type="dxa" w:w="4680"/>
          </w:tcPr>
          <w:p>
            <w:pPr>
              <w:spacing w:after="120"/>
            </w:pPr>
            <w:r>
              <w:t>Treat review processes as part of organizational learning rather than as a separate administrative burden.</w:t>
            </w:r>
          </w:p>
        </w:tc>
      </w:tr>
      <w:tr>
        <w:tc>
          <w:tcPr>
            <w:tcW w:type="dxa" w:w="4680"/>
          </w:tcPr>
          <w:p>
            <w:pPr>
              <w:spacing w:after="120"/>
            </w:pPr>
            <w:r>
              <w:t>Strengthen culture through follow-through</w:t>
            </w:r>
          </w:p>
        </w:tc>
        <w:tc>
          <w:tcPr>
            <w:tcW w:type="dxa" w:w="4680"/>
          </w:tcPr>
          <w:p>
            <w:pPr>
              <w:spacing w:after="120"/>
            </w:pPr>
            <w:r>
              <w:t>Reinforce that concerns should lead to response, feedback, and improvement so staff trust the reporting process.</w:t>
            </w:r>
          </w:p>
        </w:tc>
      </w:tr>
    </w:tbl>
    <w:p>
      <w:pPr>
        <w:pStyle w:val="Heading2"/>
        <w:shd w:fill="C1E4F5" w:val="clear"/>
      </w:pPr>
      <w:r>
        <w:t>Key reminders</w:t>
      </w:r>
    </w:p>
    <w:p>
      <w:pPr>
        <w:pStyle w:val="ListBullet"/>
        <w:spacing w:after="120"/>
        <w:ind w:left="720" w:hanging="360"/>
      </w:pPr>
      <w:r>
        <w:t>Reporting matters most when it leads to visible action and learning.</w:t>
      </w:r>
    </w:p>
    <w:p>
      <w:pPr>
        <w:pStyle w:val="ListBullet"/>
        <w:spacing w:after="120"/>
        <w:ind w:left="720" w:hanging="360"/>
      </w:pPr>
      <w:r>
        <w:t>Documentation supports accountability, memory, and improvement over time.</w:t>
      </w:r>
    </w:p>
    <w:p>
      <w:pPr>
        <w:pStyle w:val="ListBullet"/>
        <w:spacing w:after="120"/>
        <w:ind w:left="720" w:hanging="360"/>
      </w:pPr>
      <w:r>
        <w:t>A healthy culture makes it easier for staff to speak up early and responsibly.</w:t>
      </w:r>
    </w:p>
    <w:p>
      <w:r>
        <w:t>The strongest safety cultures do not depend on silence or luck. They depend on visible follow-through, thoughtful review, and the message that responsible reporting is part of good work.</w:t>
      </w:r>
    </w:p>
    <w:p>
      <w:pPr>
        <w:pStyle w:val="Heading1"/>
        <w:shd w:fill="156082" w:val="clear"/>
      </w:pPr>
      <w:r>
        <w:t>Instructions</w:t>
      </w:r>
    </w:p>
    <w:p>
      <w:pPr>
        <w:pStyle w:val="ListBullet"/>
        <w:spacing w:after="120"/>
        <w:ind w:left="720" w:hanging="360"/>
      </w:pPr>
      <w:r>
        <w:t>Discuss each prompt honestly and focus on what makes responsible reporting easier or harder in real work settings.</w:t>
      </w:r>
    </w:p>
    <w:p>
      <w:pPr>
        <w:pStyle w:val="ListBullet"/>
        <w:spacing w:after="120"/>
        <w:ind w:left="720" w:hanging="360"/>
      </w:pPr>
      <w:r>
        <w:t>Use the action-planning section to identify one practical change that would make follow-through more visible to staff.</w:t>
      </w:r>
    </w:p>
    <w:p>
      <w:pPr>
        <w:pStyle w:val="ListBullet"/>
        <w:spacing w:after="120"/>
        <w:ind w:left="720" w:hanging="360"/>
      </w:pPr>
      <w:r>
        <w:t>Where recurring themes appear, document who should review them and how feedback will return to the team.</w:t>
      </w:r>
    </w:p>
    <w:p>
      <w:pPr>
        <w:pStyle w:val="Heading1"/>
        <w:shd w:fill="156082" w:val="clear"/>
      </w:pPr>
      <w:r>
        <w:t>Worksheet and record fields</w:t>
      </w:r>
    </w:p>
    <w:p>
      <w:pPr>
        <w:pStyle w:val="Heading3"/>
      </w:pPr>
      <w:r>
        <w:t>Culture barriers and supports</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What helps staff report early</w:t>
            </w:r>
          </w:p>
        </w:tc>
        <w:tc>
          <w:tcPr>
            <w:tcW w:type="dxa" w:w="3120"/>
            <w:shd w:fill="0A2F40" w:val="clear"/>
          </w:tcPr>
          <w:p>
            <w:r>
              <w:rPr>
                <w:rFonts w:ascii="Aptos" w:hAnsi="Aptos"/>
                <w:b/>
                <w:color w:val="FFFFFF"/>
                <w:sz w:val="18"/>
              </w:rPr>
              <w:t>What discourages reporting</w:t>
            </w:r>
          </w:p>
        </w:tc>
        <w:tc>
          <w:tcPr>
            <w:tcW w:type="dxa" w:w="3120"/>
            <w:shd w:fill="0A2F40" w:val="clear"/>
          </w:tcPr>
          <w:p>
            <w:r>
              <w:rPr>
                <w:rFonts w:ascii="Aptos" w:hAnsi="Aptos"/>
                <w:b/>
                <w:color w:val="FFFFFF"/>
                <w:sz w:val="18"/>
              </w:rPr>
              <w:t>What leadership or the team can improve</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3"/>
      </w:pPr>
      <w:r>
        <w:t>Visible follow-through plan</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Concern theme</w:t>
            </w:r>
          </w:p>
        </w:tc>
        <w:tc>
          <w:tcPr>
            <w:tcW w:type="dxa" w:w="2340"/>
            <w:shd w:fill="0A2F40" w:val="clear"/>
          </w:tcPr>
          <w:p>
            <w:r>
              <w:rPr>
                <w:rFonts w:ascii="Aptos" w:hAnsi="Aptos"/>
                <w:b/>
                <w:color w:val="FFFFFF"/>
                <w:sz w:val="18"/>
              </w:rPr>
              <w:t>How review will be shown</w:t>
            </w:r>
          </w:p>
        </w:tc>
        <w:tc>
          <w:tcPr>
            <w:tcW w:type="dxa" w:w="2340"/>
            <w:shd w:fill="0A2F40" w:val="clear"/>
          </w:tcPr>
          <w:p>
            <w:r>
              <w:rPr>
                <w:rFonts w:ascii="Aptos" w:hAnsi="Aptos"/>
                <w:b/>
                <w:color w:val="FFFFFF"/>
                <w:sz w:val="18"/>
              </w:rPr>
              <w:t>Owner</w:t>
            </w:r>
          </w:p>
        </w:tc>
        <w:tc>
          <w:tcPr>
            <w:tcW w:type="dxa" w:w="2340"/>
            <w:shd w:fill="0A2F40" w:val="clear"/>
          </w:tcPr>
          <w:p>
            <w:r>
              <w:rPr>
                <w:rFonts w:ascii="Aptos" w:hAnsi="Aptos"/>
                <w:b/>
                <w:color w:val="FFFFFF"/>
                <w:sz w:val="18"/>
              </w:rPr>
              <w:t>Target follow-up date</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1"/>
        <w:shd w:fill="156082" w:val="clear"/>
      </w:pPr>
      <w:r>
        <w:t>Reflection and completion prompts</w:t>
      </w:r>
    </w:p>
    <w:p>
      <w:pPr>
        <w:pStyle w:val="ListBullet"/>
        <w:spacing w:after="120"/>
        <w:ind w:left="720" w:hanging="360"/>
      </w:pPr>
      <w:r>
        <w:t>What signs tell staff that reporting leads to real action rather than delay?</w:t>
      </w:r>
    </w:p>
    <w:p>
      <w:pPr>
        <w:pStyle w:val="ListBullet"/>
        <w:spacing w:after="120"/>
        <w:ind w:left="720" w:hanging="360"/>
      </w:pPr>
      <w:r>
        <w:t>How can a team respond to concerns in a way that encourages future speaking up?</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Safety culture discussion worksheet</dc:title>
  <dc:subject>Module 3 — Universal Safety and Compliance — Reporting, follow-through, and safety culture</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