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Safety orientation reflection worksheet</w:t>
      </w:r>
    </w:p>
    <w:p>
      <w:pPr>
        <w:spacing w:before="0" w:after="200"/>
      </w:pPr>
      <w:r>
        <w:rPr>
          <w:b/>
        </w:rPr>
        <w:t>Module 3 — Universal Safety and Compliance</w:t>
        <w:br/>
      </w:r>
      <w:r>
        <w:t>Section 1 — Shared safety posture and universal responsibilities</w:t>
        <w:br/>
      </w:r>
      <w:r>
        <w:t>Prepared for Adolbi Care — Behavioral Health Center at Cypress</w:t>
        <w:br/>
      </w:r>
      <w:r>
        <w:t>Authored by AMOS I</w:t>
      </w:r>
    </w:p>
    <w:p>
      <w:pPr>
        <w:pStyle w:val="Heading1"/>
        <w:shd w:fill="156082" w:val="clear"/>
      </w:pPr>
      <w:r>
        <w:t>Document purpose</w:t>
      </w:r>
    </w:p>
    <w:p>
      <w:r>
        <w:t>This facilitator-ready worksheet helps learners translate the language of shared safety responsibility into realistic role-based examples, habits, and follow-through steps.</w:t>
      </w:r>
    </w:p>
    <w:p>
      <w:r>
        <w:t>Supervisors can use the worksheet during orientation discussion, competency conversations, or coaching check-ins when a learner needs help connecting the framework to practical work.</w:t>
      </w:r>
    </w:p>
    <w:p>
      <w:pPr>
        <w:pStyle w:val="Heading1"/>
        <w:shd w:fill="156082" w:val="clear"/>
      </w:pPr>
      <w:r>
        <w:t>Section context</w:t>
      </w:r>
    </w:p>
    <w:p>
      <w:r>
        <w:t>This opening section frames safety and compliance as a daily discipline that belongs to every role rather than a separate task reserved for leadership or specialists.</w:t>
      </w:r>
    </w:p>
    <w:p>
      <w:r>
        <w:t>Help learners understand the basic posture required for safe work: awareness, prevention, reporting, and consistent follow-through.</w:t>
      </w:r>
    </w:p>
    <w:p>
      <w:pPr>
        <w:pStyle w:val="Heading2"/>
        <w:shd w:fill="C1E4F5" w:val="clear"/>
      </w:pPr>
      <w:r>
        <w:t>Why this section matters</w:t>
      </w:r>
    </w:p>
    <w:p>
      <w:r>
        <w:t>Universal safety begins with the understanding that every staff member contributes to protection, order, and readiness. A strong orientation does not treat safety as an isolated checklist. Instead, it teaches that ordinary work habits, timely communication, and disciplined observation all contribute to a safer environment for clients, visitors, and colleagues.</w:t>
      </w:r>
    </w:p>
    <w:p>
      <w:r>
        <w:t>Compliance supports that safety posture by clarifying what should be done, when it should be done, and how concerns should be handled. Staff need to recognize that policies, training expectations, and site routines are not separate from care or operations. They are part of how safe and reliable service is maintained from shift to shift.</w:t>
      </w:r>
    </w:p>
    <w:p>
      <w:r>
        <w:t>This section therefore serves as the foundation for the module. It introduces the language of shared responsibility, reinforces the expectation that concerns should be addressed rather than ignored, and prepares learners to examine specific safety domains in the sections that follow.</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Safety belongs to every role</w:t>
            </w:r>
          </w:p>
        </w:tc>
        <w:tc>
          <w:tcPr>
            <w:tcW w:type="dxa" w:w="4680"/>
          </w:tcPr>
          <w:p>
            <w:pPr>
              <w:spacing w:after="120"/>
            </w:pPr>
            <w:r>
              <w:t>Staff should see safety as a shared operating expectation that applies during routine work, transitions, and moments of uncertainty.</w:t>
            </w:r>
          </w:p>
        </w:tc>
      </w:tr>
      <w:tr>
        <w:tc>
          <w:tcPr>
            <w:tcW w:type="dxa" w:w="4680"/>
          </w:tcPr>
          <w:p>
            <w:pPr>
              <w:spacing w:after="120"/>
            </w:pPr>
            <w:r>
              <w:t>Prevention starts with awareness</w:t>
            </w:r>
          </w:p>
        </w:tc>
        <w:tc>
          <w:tcPr>
            <w:tcW w:type="dxa" w:w="4680"/>
          </w:tcPr>
          <w:p>
            <w:pPr>
              <w:spacing w:after="120"/>
            </w:pPr>
            <w:r>
              <w:t>Notice conditions early, use approved practices consistently, and reduce risk before formal intervention becomes necessary.</w:t>
            </w:r>
          </w:p>
        </w:tc>
      </w:tr>
      <w:tr>
        <w:tc>
          <w:tcPr>
            <w:tcW w:type="dxa" w:w="4680"/>
          </w:tcPr>
          <w:p>
            <w:pPr>
              <w:spacing w:after="120"/>
            </w:pPr>
            <w:r>
              <w:t>Concerns must move</w:t>
            </w:r>
          </w:p>
        </w:tc>
        <w:tc>
          <w:tcPr>
            <w:tcW w:type="dxa" w:w="4680"/>
          </w:tcPr>
          <w:p>
            <w:pPr>
              <w:spacing w:after="120"/>
            </w:pPr>
            <w:r>
              <w:t>Report hazards, near misses, or unexpected conditions through the proper channels instead of assuming someone else will act.</w:t>
            </w:r>
          </w:p>
        </w:tc>
      </w:tr>
      <w:tr>
        <w:tc>
          <w:tcPr>
            <w:tcW w:type="dxa" w:w="4680"/>
          </w:tcPr>
          <w:p>
            <w:pPr>
              <w:spacing w:after="120"/>
            </w:pPr>
            <w:r>
              <w:t>Follow-through matters</w:t>
            </w:r>
          </w:p>
        </w:tc>
        <w:tc>
          <w:tcPr>
            <w:tcW w:type="dxa" w:w="4680"/>
          </w:tcPr>
          <w:p>
            <w:pPr>
              <w:spacing w:after="120"/>
            </w:pPr>
            <w:r>
              <w:t>Safe organizations do not stop at observation; they confirm that action, documentation, and review actually occur.</w:t>
            </w:r>
          </w:p>
        </w:tc>
      </w:tr>
    </w:tbl>
    <w:p>
      <w:pPr>
        <w:pStyle w:val="Heading2"/>
        <w:shd w:fill="C1E4F5" w:val="clear"/>
      </w:pPr>
      <w:r>
        <w:t>Key reminders</w:t>
      </w:r>
    </w:p>
    <w:p>
      <w:pPr>
        <w:pStyle w:val="ListBullet"/>
        <w:spacing w:after="120"/>
        <w:ind w:left="720" w:hanging="360"/>
      </w:pPr>
      <w:r>
        <w:t>Safety and compliance are daily work disciplines, not occasional reminders.</w:t>
      </w:r>
    </w:p>
    <w:p>
      <w:pPr>
        <w:pStyle w:val="ListBullet"/>
        <w:spacing w:after="120"/>
        <w:ind w:left="720" w:hanging="360"/>
      </w:pPr>
      <w:r>
        <w:t>Shared responsibility creates better protection than role confusion or silence.</w:t>
      </w:r>
    </w:p>
    <w:p>
      <w:pPr>
        <w:pStyle w:val="ListBullet"/>
        <w:spacing w:after="120"/>
        <w:ind w:left="720" w:hanging="360"/>
      </w:pPr>
      <w:r>
        <w:t>Early attention and prompt reporting reduce the likelihood of preventable escalation.</w:t>
      </w:r>
    </w:p>
    <w:p>
      <w:r>
        <w:t>The purpose of this section is to establish a mindset: safe practice depends on visible habits, not vague intentions. Learners should leave this section understanding that everyone contributes to prevention and follow-through.</w:t>
      </w:r>
    </w:p>
    <w:p>
      <w:pPr>
        <w:pStyle w:val="Heading1"/>
        <w:shd w:fill="156082" w:val="clear"/>
      </w:pPr>
      <w:r>
        <w:t>Instructions</w:t>
      </w:r>
    </w:p>
    <w:p>
      <w:pPr>
        <w:pStyle w:val="ListBullet"/>
        <w:spacing w:after="120"/>
        <w:ind w:left="720" w:hanging="360"/>
      </w:pPr>
      <w:r>
        <w:t>Review each prompt with the learner and ask for examples from ordinary daily work, not only crisis situations.</w:t>
      </w:r>
    </w:p>
    <w:p>
      <w:pPr>
        <w:pStyle w:val="ListBullet"/>
        <w:spacing w:after="120"/>
        <w:ind w:left="720" w:hanging="360"/>
      </w:pPr>
      <w:r>
        <w:t>Encourage the learner to identify both immediate action and the communication or documentation step that should follow.</w:t>
      </w:r>
    </w:p>
    <w:p>
      <w:pPr>
        <w:pStyle w:val="ListBullet"/>
        <w:spacing w:after="120"/>
        <w:ind w:left="720" w:hanging="360"/>
      </w:pPr>
      <w:r>
        <w:t>Use the final reflection area to identify one safety habit the learner will strengthen during the next work period.</w:t>
      </w:r>
    </w:p>
    <w:p>
      <w:pPr>
        <w:pStyle w:val="Heading1"/>
        <w:shd w:fill="156082" w:val="clear"/>
      </w:pPr>
      <w:r>
        <w:t>Worksheet and record fields</w:t>
      </w:r>
    </w:p>
    <w:p>
      <w:pPr>
        <w:pStyle w:val="Heading3"/>
      </w:pPr>
      <w:r>
        <w:t>Shared responsibility reflection</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Safety habit</w:t>
            </w:r>
          </w:p>
        </w:tc>
        <w:tc>
          <w:tcPr>
            <w:tcW w:type="dxa" w:w="3120"/>
            <w:shd w:fill="0A2F40" w:val="clear"/>
          </w:tcPr>
          <w:p>
            <w:r>
              <w:rPr>
                <w:rFonts w:ascii="Aptos" w:hAnsi="Aptos"/>
                <w:b/>
                <w:color w:val="FFFFFF"/>
                <w:sz w:val="18"/>
              </w:rPr>
              <w:t>What this looks like in my role</w:t>
            </w:r>
          </w:p>
        </w:tc>
        <w:tc>
          <w:tcPr>
            <w:tcW w:type="dxa" w:w="3120"/>
            <w:shd w:fill="0A2F40" w:val="clear"/>
          </w:tcPr>
          <w:p>
            <w:r>
              <w:rPr>
                <w:rFonts w:ascii="Aptos" w:hAnsi="Aptos"/>
                <w:b/>
                <w:color w:val="FFFFFF"/>
                <w:sz w:val="18"/>
              </w:rPr>
              <w:t>How I would know it was done well</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3"/>
      </w:pPr>
      <w:r>
        <w:t>Follow-through planning grid</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Concern or near miss</w:t>
            </w:r>
          </w:p>
        </w:tc>
        <w:tc>
          <w:tcPr>
            <w:tcW w:type="dxa" w:w="3120"/>
            <w:shd w:fill="0A2F40" w:val="clear"/>
          </w:tcPr>
          <w:p>
            <w:r>
              <w:rPr>
                <w:rFonts w:ascii="Aptos" w:hAnsi="Aptos"/>
                <w:b/>
                <w:color w:val="FFFFFF"/>
                <w:sz w:val="18"/>
              </w:rPr>
              <w:t>Who should be informed</w:t>
            </w:r>
          </w:p>
        </w:tc>
        <w:tc>
          <w:tcPr>
            <w:tcW w:type="dxa" w:w="3120"/>
            <w:shd w:fill="0A2F40" w:val="clear"/>
          </w:tcPr>
          <w:p>
            <w:r>
              <w:rPr>
                <w:rFonts w:ascii="Aptos" w:hAnsi="Aptos"/>
                <w:b/>
                <w:color w:val="FFFFFF"/>
                <w:sz w:val="18"/>
              </w:rPr>
              <w:t>What documentation or confirmation is needed</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1"/>
        <w:shd w:fill="156082" w:val="clear"/>
      </w:pPr>
      <w:r>
        <w:t>Reflection and completion prompts</w:t>
      </w:r>
    </w:p>
    <w:p>
      <w:pPr>
        <w:pStyle w:val="ListBullet"/>
        <w:spacing w:after="120"/>
        <w:ind w:left="720" w:hanging="360"/>
      </w:pPr>
      <w:r>
        <w:t>Describe one ordinary work habit that prevents avoidable safety problems before they need formal escalation.</w:t>
      </w:r>
    </w:p>
    <w:p>
      <w:pPr>
        <w:pStyle w:val="ListBullet"/>
        <w:spacing w:after="120"/>
        <w:ind w:left="720" w:hanging="360"/>
      </w:pPr>
      <w:r>
        <w:t>What should happen after you notice a concern if the issue cannot be fully resolved on the spot?</w:t>
      </w:r>
    </w:p>
    <w:p>
      <w:pPr>
        <w:pStyle w:val="ListBullet"/>
        <w:spacing w:after="120"/>
        <w:ind w:left="720" w:hanging="360"/>
      </w:pPr>
      <w:r>
        <w:t>How does visible follow-through help staff trust the safety process?</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Safety orientation reflection worksheet</dc:title>
  <dc:subject>Module 3 — Universal Safety and Compliance — Shared safety posture and universal responsibilities</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