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Scenario debrief worksheet</w:t>
      </w:r>
    </w:p>
    <w:p>
      <w:pPr>
        <w:spacing w:before="0" w:after="200"/>
      </w:pPr>
      <w:r>
        <w:rPr>
          <w:b/>
        </w:rPr>
        <w:t>Module 7 — Competency Verification and Multi-Method Evidence</w:t>
        <w:br/>
      </w:r>
      <w:r>
        <w:t>Section 3 — Scenario review, drills, and teach-back</w:t>
        <w:br/>
      </w:r>
      <w:r>
        <w:t>Prepared for Adolbi Care — Behavioral Health Center at Cypress</w:t>
        <w:br/>
      </w:r>
      <w:r>
        <w:t>Authored by AMOS I</w:t>
      </w:r>
    </w:p>
    <w:p>
      <w:pPr>
        <w:pStyle w:val="Heading1"/>
        <w:shd w:fill="156082" w:val="clear"/>
      </w:pPr>
      <w:r>
        <w:t>Document purpose</w:t>
      </w:r>
    </w:p>
    <w:p>
      <w:r>
        <w:t>This editable worksheet supports debrief and corrective coaching after scenario review, teach-back, or drill activity.</w:t>
      </w:r>
    </w:p>
    <w:p>
      <w:r>
        <w:t>Facilitators and supervisors can use the worksheet to capture what the learner understood, where reasoning broke down, and what practice should happen next.</w:t>
      </w:r>
    </w:p>
    <w:p>
      <w:pPr>
        <w:pStyle w:val="Heading1"/>
        <w:shd w:fill="156082" w:val="clear"/>
      </w:pPr>
      <w:r>
        <w:t>Section context</w:t>
      </w:r>
    </w:p>
    <w:p>
      <w:r>
        <w:t>This section expands competency evidence beyond live observation by using scenario reasoning, drills, and verbal teach-back to study judgment under pressure.</w:t>
      </w:r>
    </w:p>
    <w:p>
      <w:r>
        <w:t>Help teams use scenario-based methods to test reasoning, memory, escalation judgment, and applied understanding before release.</w:t>
      </w:r>
    </w:p>
    <w:p>
      <w:pPr>
        <w:pStyle w:val="Heading2"/>
        <w:shd w:fill="C1E4F5" w:val="clear"/>
      </w:pPr>
      <w:r>
        <w:t>Why this section matters</w:t>
      </w:r>
    </w:p>
    <w:p>
      <w:r>
        <w:t>Not every important competency can be studied only through routine observation. Some skills emerge most clearly when the learner is asked to think through a difficult situation, respond to an emergency prompt, or teach the standard back in their own words. That is why scenario review and drills belong inside the evidence model.</w:t>
      </w:r>
    </w:p>
    <w:p>
      <w:r>
        <w:t>Teach-back and practical scenarios reveal whether the learner understands the logic underneath the procedure. They help the organization see whether the person can identify risk, choose the correct next action, and explain the reason for that choice when the situation becomes less predictable.</w:t>
      </w:r>
    </w:p>
    <w:p>
      <w:r>
        <w:t>This section teaches scenario-based verification as a structured evidence method rather than an informal quiz. The scenario should have a defined purpose, a documented outcome, and a clear connection to the decision about readiness, restriction, or remediation.</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Use scenarios to study judgment</w:t>
            </w:r>
          </w:p>
        </w:tc>
        <w:tc>
          <w:tcPr>
            <w:tcW w:type="dxa" w:w="4680"/>
          </w:tcPr>
          <w:p>
            <w:pPr>
              <w:spacing w:after="120"/>
            </w:pPr>
            <w:r>
              <w:t>Scenario prompts test how the learner thinks, not only whether they can repeat policy language.</w:t>
            </w:r>
          </w:p>
        </w:tc>
      </w:tr>
      <w:tr>
        <w:tc>
          <w:tcPr>
            <w:tcW w:type="dxa" w:w="4680"/>
          </w:tcPr>
          <w:p>
            <w:pPr>
              <w:spacing w:after="120"/>
            </w:pPr>
            <w:r>
              <w:t>Teach-back confirms understanding</w:t>
            </w:r>
          </w:p>
        </w:tc>
        <w:tc>
          <w:tcPr>
            <w:tcW w:type="dxa" w:w="4680"/>
          </w:tcPr>
          <w:p>
            <w:pPr>
              <w:spacing w:after="120"/>
            </w:pPr>
            <w:r>
              <w:t>When the learner explains the standard clearly, gaps in reasoning become easier to detect and correct.</w:t>
            </w:r>
          </w:p>
        </w:tc>
      </w:tr>
      <w:tr>
        <w:tc>
          <w:tcPr>
            <w:tcW w:type="dxa" w:w="4680"/>
          </w:tcPr>
          <w:p>
            <w:pPr>
              <w:spacing w:after="120"/>
            </w:pPr>
            <w:r>
              <w:t>Drills reveal response habits</w:t>
            </w:r>
          </w:p>
        </w:tc>
        <w:tc>
          <w:tcPr>
            <w:tcW w:type="dxa" w:w="4680"/>
          </w:tcPr>
          <w:p>
            <w:pPr>
              <w:spacing w:after="120"/>
            </w:pPr>
            <w:r>
              <w:t>Time-pressured or sequence-based drills help the organization see how the learner acts under realistic pressure.</w:t>
            </w:r>
          </w:p>
        </w:tc>
      </w:tr>
      <w:tr>
        <w:tc>
          <w:tcPr>
            <w:tcW w:type="dxa" w:w="4680"/>
          </w:tcPr>
          <w:p>
            <w:pPr>
              <w:spacing w:after="120"/>
            </w:pPr>
            <w:r>
              <w:t>Results should be documented</w:t>
            </w:r>
          </w:p>
        </w:tc>
        <w:tc>
          <w:tcPr>
            <w:tcW w:type="dxa" w:w="4680"/>
          </w:tcPr>
          <w:p>
            <w:pPr>
              <w:spacing w:after="120"/>
            </w:pPr>
            <w:r>
              <w:t>Scenario scores, notes, or qualitative findings should feed directly into readiness review rather than stay informal.</w:t>
            </w:r>
          </w:p>
        </w:tc>
      </w:tr>
    </w:tbl>
    <w:p>
      <w:pPr>
        <w:pStyle w:val="Heading2"/>
        <w:shd w:fill="C1E4F5" w:val="clear"/>
      </w:pPr>
      <w:r>
        <w:t>Key reminders</w:t>
      </w:r>
    </w:p>
    <w:p>
      <w:pPr>
        <w:pStyle w:val="ListBullet"/>
        <w:spacing w:after="120"/>
        <w:ind w:left="720" w:hanging="360"/>
      </w:pPr>
      <w:r>
        <w:t>Scenario-based evidence shows how learners reason when conditions are less predictable.</w:t>
      </w:r>
    </w:p>
    <w:p>
      <w:pPr>
        <w:pStyle w:val="ListBullet"/>
        <w:spacing w:after="120"/>
        <w:ind w:left="720" w:hanging="360"/>
      </w:pPr>
      <w:r>
        <w:t>Teach-back exposes both understanding and misunderstanding very quickly.</w:t>
      </w:r>
    </w:p>
    <w:p>
      <w:pPr>
        <w:pStyle w:val="ListBullet"/>
        <w:spacing w:after="120"/>
        <w:ind w:left="720" w:hanging="360"/>
      </w:pPr>
      <w:r>
        <w:t>Drills become valuable evidence only when the outcome is documented and tied to next-step decisions.</w:t>
      </w:r>
    </w:p>
    <w:p>
      <w:r>
        <w:t>A learner who can explain the standard, reason through the exception, and respond during a drill is giving stronger evidence than a learner who only says they attended training.</w:t>
      </w:r>
    </w:p>
    <w:p>
      <w:pPr>
        <w:pStyle w:val="Heading1"/>
        <w:shd w:fill="156082" w:val="clear"/>
      </w:pPr>
      <w:r>
        <w:t>Instructions</w:t>
      </w:r>
    </w:p>
    <w:p>
      <w:pPr>
        <w:pStyle w:val="ListBullet"/>
        <w:spacing w:after="120"/>
        <w:ind w:left="720" w:hanging="360"/>
      </w:pPr>
      <w:r>
        <w:t>Describe the scenario, drill, or teach-back method used and the role pathway it was testing.</w:t>
      </w:r>
    </w:p>
    <w:p>
      <w:pPr>
        <w:pStyle w:val="ListBullet"/>
        <w:spacing w:after="120"/>
        <w:ind w:left="720" w:hanging="360"/>
      </w:pPr>
      <w:r>
        <w:t>Record how the learner explained the standard, what action sequence was chosen, and where escalation logic was accurate or incomplete.</w:t>
      </w:r>
    </w:p>
    <w:p>
      <w:pPr>
        <w:pStyle w:val="ListBullet"/>
        <w:spacing w:after="120"/>
        <w:ind w:left="720" w:hanging="360"/>
      </w:pPr>
      <w:r>
        <w:t>Name the follow-up practice, repeat verification, or remediation needed before the learner advances.</w:t>
      </w:r>
    </w:p>
    <w:p>
      <w:pPr>
        <w:pStyle w:val="Heading1"/>
        <w:shd w:fill="156082" w:val="clear"/>
      </w:pPr>
      <w:r>
        <w:t>Worksheet and record fields</w:t>
      </w:r>
    </w:p>
    <w:p>
      <w:pPr>
        <w:pStyle w:val="Heading3"/>
      </w:pPr>
      <w:r>
        <w:t>Scenario review summary</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Area reviewed</w:t>
            </w:r>
          </w:p>
        </w:tc>
        <w:tc>
          <w:tcPr>
            <w:tcW w:type="dxa" w:w="1872"/>
            <w:shd w:fill="0A2F40" w:val="clear"/>
          </w:tcPr>
          <w:p>
            <w:r>
              <w:rPr>
                <w:rFonts w:ascii="Aptos" w:hAnsi="Aptos"/>
                <w:b/>
                <w:color w:val="FFFFFF"/>
                <w:sz w:val="18"/>
              </w:rPr>
              <w:t>What the learner demonstrated</w:t>
            </w:r>
          </w:p>
        </w:tc>
        <w:tc>
          <w:tcPr>
            <w:tcW w:type="dxa" w:w="1872"/>
            <w:shd w:fill="0A2F40" w:val="clear"/>
          </w:tcPr>
          <w:p>
            <w:r>
              <w:rPr>
                <w:rFonts w:ascii="Aptos" w:hAnsi="Aptos"/>
                <w:b/>
                <w:color w:val="FFFFFF"/>
                <w:sz w:val="18"/>
              </w:rPr>
              <w:t>Gap identified</w:t>
            </w:r>
          </w:p>
        </w:tc>
        <w:tc>
          <w:tcPr>
            <w:tcW w:type="dxa" w:w="1872"/>
            <w:shd w:fill="0A2F40" w:val="clear"/>
          </w:tcPr>
          <w:p>
            <w:r>
              <w:rPr>
                <w:rFonts w:ascii="Aptos" w:hAnsi="Aptos"/>
                <w:b/>
                <w:color w:val="FFFFFF"/>
                <w:sz w:val="18"/>
              </w:rPr>
              <w:t>Corrective guidance</w:t>
            </w:r>
          </w:p>
        </w:tc>
        <w:tc>
          <w:tcPr>
            <w:tcW w:type="dxa" w:w="1872"/>
            <w:shd w:fill="0A2F40" w:val="clear"/>
          </w:tcPr>
          <w:p>
            <w:r>
              <w:rPr>
                <w:rFonts w:ascii="Aptos" w:hAnsi="Aptos"/>
                <w:b/>
                <w:color w:val="FFFFFF"/>
                <w:sz w:val="18"/>
              </w:rPr>
              <w:t>Next verification step</w:t>
            </w:r>
          </w:p>
        </w:tc>
      </w:tr>
      <w:tr>
        <w:tc>
          <w:tcPr>
            <w:tcW w:type="dxa" w:w="1872"/>
          </w:tcPr>
          <w:p>
            <w:pPr>
              <w:spacing w:after="120"/>
            </w:pPr>
            <w:r>
              <w:t>Reasoning</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Action sequence</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Escalation logic</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Teach-back clarity</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1"/>
        <w:shd w:fill="156082" w:val="clear"/>
      </w:pPr>
      <w:r>
        <w:t>Reflection and completion prompts</w:t>
      </w:r>
    </w:p>
    <w:p>
      <w:pPr>
        <w:pStyle w:val="ListBullet"/>
        <w:spacing w:after="120"/>
        <w:ind w:left="720" w:hanging="360"/>
      </w:pPr>
      <w:r>
        <w:t>What part of the exercise gave the clearest evidence of readiness or risk?</w:t>
      </w:r>
    </w:p>
    <w:p>
      <w:pPr>
        <w:pStyle w:val="ListBullet"/>
        <w:spacing w:after="120"/>
        <w:ind w:left="720" w:hanging="360"/>
      </w:pPr>
      <w:r>
        <w:t>What misunderstanding needs immediate correction before the learner returns to practice?</w:t>
      </w:r>
    </w:p>
    <w:p>
      <w:pPr>
        <w:pStyle w:val="ListBullet"/>
        <w:spacing w:after="120"/>
        <w:ind w:left="720" w:hanging="360"/>
      </w:pPr>
      <w:r>
        <w:t>Should the next step be repeat scenario work, direct observation, or formal remediation?</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Scenario debrief worksheet</dc:title>
  <dc:subject>Module 7 — Competency Verification and Multi-Method Evidence — Scenario review, drills, and teach-back</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