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Start-of-shift alignment worksheet</w:t>
      </w:r>
    </w:p>
    <w:p>
      <w:pPr>
        <w:spacing w:before="0" w:after="200"/>
      </w:pPr>
      <w:r>
        <w:rPr>
          <w:b/>
        </w:rPr>
        <w:t>Module 4 — Operational Workflow</w:t>
        <w:br/>
      </w:r>
      <w:r>
        <w:t>Section 1 — Shift readiness and operational posture</w:t>
        <w:br/>
      </w:r>
      <w:r>
        <w:t>Prepared for Adolbi Care — Behavioral Health Center at Cypress</w:t>
        <w:br/>
      </w:r>
      <w:r>
        <w:t>Authored by AMOS I</w:t>
      </w:r>
    </w:p>
    <w:p>
      <w:pPr>
        <w:pStyle w:val="Heading1"/>
        <w:shd w:fill="156082" w:val="clear"/>
      </w:pPr>
      <w:r>
        <w:t>Document purpose</w:t>
      </w:r>
    </w:p>
    <w:p>
      <w:r>
        <w:t>This facilitator-ready worksheet helps learners translate readiness language into the actual checks, questions, and coordination habits needed at the beginning of a shift.</w:t>
      </w:r>
    </w:p>
    <w:p>
      <w:r>
        <w:t>Supervisors can use the worksheet during orientation, return demonstrations, or coaching when a learner needs help defining what shift readiness looks like in practice.</w:t>
      </w:r>
    </w:p>
    <w:p>
      <w:pPr>
        <w:pStyle w:val="Heading1"/>
        <w:shd w:fill="156082" w:val="clear"/>
      </w:pPr>
      <w:r>
        <w:t>Section context</w:t>
      </w:r>
    </w:p>
    <w:p>
      <w:r>
        <w:t>This opening section frames workflow as a daily operating discipline, showing that stable performance begins with readiness, role clarity, and visible priorities before routine work accelerates.</w:t>
      </w:r>
    </w:p>
    <w:p>
      <w:r>
        <w:t>Help learners understand that dependable workflow starts with preparation, situational awareness, and early alignment rather than rushed reaction.</w:t>
      </w:r>
    </w:p>
    <w:p>
      <w:pPr>
        <w:pStyle w:val="Heading2"/>
        <w:shd w:fill="C1E4F5" w:val="clear"/>
      </w:pPr>
      <w:r>
        <w:t>Why this section matters</w:t>
      </w:r>
    </w:p>
    <w:p>
      <w:r>
        <w:t>Operational workflow begins before the visible task list starts moving. Staff need enough preparation to understand what kind of day they are entering, what demands are already known, and where the first pressure points are likely to appear. This opening section teaches that readiness is not a courtesy step. It is the discipline that prevents the workday from becoming reactive before it is even underway.</w:t>
      </w:r>
    </w:p>
    <w:p>
      <w:r>
        <w:t>A strong start includes reviewing priorities, confirming assignments, checking the working environment, and recognizing anything unusual that could affect routine execution. When those elements are missing, teams often spend the rest of the shift correcting avoidable confusion. Readiness therefore functions as protection: it reduces the chance that workflow will break because expectations were never made visible in time.</w:t>
      </w:r>
    </w:p>
    <w:p>
      <w:r>
        <w:t>The learner should leave this section understanding that operational posture is a practical form of control. Good workflow does not depend on heroics alone. It depends on ordinary preparation, shared clarity, and a common understanding of what must be protected first as the day unfolds.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Begin with shared visibility</w:t>
            </w:r>
          </w:p>
        </w:tc>
        <w:tc>
          <w:tcPr>
            <w:tcW w:type="dxa" w:w="4680"/>
          </w:tcPr>
          <w:p>
            <w:pPr>
              <w:spacing w:after="120"/>
            </w:pPr>
            <w:r>
              <w:t>Teams should know the day’s priorities, known concerns, and key dependencies before routine work begins to accelerate.</w:t>
            </w:r>
          </w:p>
        </w:tc>
      </w:tr>
      <w:tr>
        <w:tc>
          <w:tcPr>
            <w:tcW w:type="dxa" w:w="4680"/>
          </w:tcPr>
          <w:p>
            <w:pPr>
              <w:spacing w:after="120"/>
            </w:pPr>
            <w:r>
              <w:t>Check the operating conditions</w:t>
            </w:r>
          </w:p>
        </w:tc>
        <w:tc>
          <w:tcPr>
            <w:tcW w:type="dxa" w:w="4680"/>
          </w:tcPr>
          <w:p>
            <w:pPr>
              <w:spacing w:after="120"/>
            </w:pPr>
            <w:r>
              <w:t>Readiness includes reviewing supplies, information, assignments, and physical conditions that affect execution.</w:t>
            </w:r>
          </w:p>
        </w:tc>
      </w:tr>
      <w:tr>
        <w:tc>
          <w:tcPr>
            <w:tcW w:type="dxa" w:w="4680"/>
          </w:tcPr>
          <w:p>
            <w:pPr>
              <w:spacing w:after="120"/>
            </w:pPr>
            <w:r>
              <w:t>Name the fragile points early</w:t>
            </w:r>
          </w:p>
        </w:tc>
        <w:tc>
          <w:tcPr>
            <w:tcW w:type="dxa" w:w="4680"/>
          </w:tcPr>
          <w:p>
            <w:pPr>
              <w:spacing w:after="120"/>
            </w:pPr>
            <w:r>
              <w:t>Potential pressure points should be identified before they create delay, drift, or rushed recovery later in the shift.</w:t>
            </w:r>
          </w:p>
        </w:tc>
      </w:tr>
      <w:tr>
        <w:tc>
          <w:tcPr>
            <w:tcW w:type="dxa" w:w="4680"/>
          </w:tcPr>
          <w:p>
            <w:pPr>
              <w:spacing w:after="120"/>
            </w:pPr>
            <w:r>
              <w:t>Treat preparation as workflow protection</w:t>
            </w:r>
          </w:p>
        </w:tc>
        <w:tc>
          <w:tcPr>
            <w:tcW w:type="dxa" w:w="4680"/>
          </w:tcPr>
          <w:p>
            <w:pPr>
              <w:spacing w:after="120"/>
            </w:pPr>
            <w:r>
              <w:t>Start-of-shift alignment protects quality and continuity by reducing uncertainty before the pace increases.</w:t>
            </w:r>
          </w:p>
        </w:tc>
      </w:tr>
    </w:tbl>
    <w:p>
      <w:pPr>
        <w:pStyle w:val="Heading2"/>
        <w:shd w:fill="C1E4F5" w:val="clear"/>
      </w:pPr>
      <w:r>
        <w:t>Key reminders</w:t>
      </w:r>
    </w:p>
    <w:p>
      <w:pPr>
        <w:pStyle w:val="ListBullet"/>
        <w:spacing w:after="120"/>
        <w:ind w:left="720" w:hanging="360"/>
      </w:pPr>
      <w:r>
        <w:t>Workflow reliability starts with readiness, not improvisation.</w:t>
      </w:r>
    </w:p>
    <w:p>
      <w:pPr>
        <w:pStyle w:val="ListBullet"/>
        <w:spacing w:after="120"/>
        <w:ind w:left="720" w:hanging="360"/>
      </w:pPr>
      <w:r>
        <w:t>Early clarity reduces downstream correction work.</w:t>
      </w:r>
    </w:p>
    <w:p>
      <w:pPr>
        <w:pStyle w:val="ListBullet"/>
        <w:spacing w:after="120"/>
        <w:ind w:left="720" w:hanging="360"/>
      </w:pPr>
      <w:r>
        <w:t>Preparation is part of execution, not separate from it.</w:t>
      </w:r>
    </w:p>
    <w:p>
      <w:r>
        <w:t>The purpose of this section is to establish a disciplined operating mindset: stable workflow begins when teams enter the day with enough clarity to sequence work before pressure starts to distort the plan.</w:t>
      </w:r>
    </w:p>
    <w:p>
      <w:pPr>
        <w:pStyle w:val="Heading1"/>
        <w:shd w:fill="156082" w:val="clear"/>
      </w:pPr>
      <w:r>
        <w:t>Instructions</w:t>
      </w:r>
    </w:p>
    <w:p>
      <w:pPr>
        <w:pStyle w:val="ListBullet"/>
        <w:spacing w:after="120"/>
        <w:ind w:left="720" w:hanging="360"/>
      </w:pPr>
      <w:r>
        <w:t>Review each prompt with the learner and ask for examples from ordinary daily workflow rather than unusual crisis events.</w:t>
      </w:r>
    </w:p>
    <w:p>
      <w:pPr>
        <w:pStyle w:val="ListBullet"/>
        <w:spacing w:after="120"/>
        <w:ind w:left="720" w:hanging="360"/>
      </w:pPr>
      <w:r>
        <w:t>Encourage the learner to name both the readiness action and the risk created when that action is skipped.</w:t>
      </w:r>
    </w:p>
    <w:p>
      <w:pPr>
        <w:pStyle w:val="ListBullet"/>
        <w:spacing w:after="120"/>
        <w:ind w:left="720" w:hanging="360"/>
      </w:pPr>
      <w:r>
        <w:t>Use the final section to identify one start-of-shift habit the learner will strengthen during the next work period.</w:t>
      </w:r>
    </w:p>
    <w:p>
      <w:pPr>
        <w:pStyle w:val="Heading1"/>
        <w:shd w:fill="156082" w:val="clear"/>
      </w:pPr>
      <w:r>
        <w:t>Worksheet and record fields</w:t>
      </w:r>
    </w:p>
    <w:p>
      <w:pPr>
        <w:pStyle w:val="Heading3"/>
      </w:pPr>
      <w:r>
        <w:t>Readiness planning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Shift-opening check</w:t>
            </w:r>
          </w:p>
        </w:tc>
        <w:tc>
          <w:tcPr>
            <w:tcW w:type="dxa" w:w="3120"/>
            <w:shd w:fill="0A2F40" w:val="clear"/>
          </w:tcPr>
          <w:p>
            <w:r>
              <w:rPr>
                <w:rFonts w:ascii="Aptos" w:hAnsi="Aptos"/>
                <w:b/>
                <w:color w:val="FFFFFF"/>
                <w:sz w:val="18"/>
              </w:rPr>
              <w:t>Why it matters</w:t>
            </w:r>
          </w:p>
        </w:tc>
        <w:tc>
          <w:tcPr>
            <w:tcW w:type="dxa" w:w="3120"/>
            <w:shd w:fill="0A2F40" w:val="clear"/>
          </w:tcPr>
          <w:p>
            <w:r>
              <w:rPr>
                <w:rFonts w:ascii="Aptos" w:hAnsi="Aptos"/>
                <w:b/>
                <w:color w:val="FFFFFF"/>
                <w:sz w:val="18"/>
              </w:rPr>
              <w:t>How I would verify it was done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Known pressure points</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Expected challenge</w:t>
            </w:r>
          </w:p>
        </w:tc>
        <w:tc>
          <w:tcPr>
            <w:tcW w:type="dxa" w:w="3120"/>
            <w:shd w:fill="0A2F40" w:val="clear"/>
          </w:tcPr>
          <w:p>
            <w:r>
              <w:rPr>
                <w:rFonts w:ascii="Aptos" w:hAnsi="Aptos"/>
                <w:b/>
                <w:color w:val="FFFFFF"/>
                <w:sz w:val="18"/>
              </w:rPr>
              <w:t>What should be clarified early</w:t>
            </w:r>
          </w:p>
        </w:tc>
        <w:tc>
          <w:tcPr>
            <w:tcW w:type="dxa" w:w="3120"/>
            <w:shd w:fill="0A2F40" w:val="clear"/>
          </w:tcPr>
          <w:p>
            <w:r>
              <w:rPr>
                <w:rFonts w:ascii="Aptos" w:hAnsi="Aptos"/>
                <w:b/>
                <w:color w:val="FFFFFF"/>
                <w:sz w:val="18"/>
              </w:rPr>
              <w:t>Who needs visibility</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one readiness step that would make a difficult day more manageable before the first disruption appears.</w:t>
      </w:r>
    </w:p>
    <w:p>
      <w:pPr>
        <w:pStyle w:val="ListBullet"/>
        <w:spacing w:after="120"/>
        <w:ind w:left="720" w:hanging="360"/>
      </w:pPr>
      <w:r>
        <w:t>How would you know a team started the shift with shared clarity rather than parallel assumptions?</w:t>
      </w:r>
    </w:p>
    <w:p>
      <w:pPr>
        <w:pStyle w:val="ListBullet"/>
        <w:spacing w:after="120"/>
        <w:ind w:left="720" w:hanging="360"/>
      </w:pPr>
      <w:r>
        <w:t>What pressure point in your role deserves earlier visibility than it usually receives?</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Start-of-shift alignment worksheet</dc:title>
  <dc:subject>Module 4 — Operational Workflow — Shift readiness and operational posture</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