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Supervised demonstration coaching form</w:t>
      </w:r>
    </w:p>
    <w:p>
      <w:pPr>
        <w:spacing w:before="0" w:after="200"/>
      </w:pPr>
      <w:r>
        <w:rPr>
          <w:b/>
        </w:rPr>
        <w:t>Module 7 — Competency Verification and Multi-Method Evidence</w:t>
        <w:br/>
      </w:r>
      <w:r>
        <w:t>Section 2 — Observation and supervised demonstration</w:t>
        <w:br/>
      </w:r>
      <w:r>
        <w:t>Prepared for Adolbi Care — Behavioral Health Center at Cypress</w:t>
        <w:br/>
      </w:r>
      <w:r>
        <w:t>Authored by AMOS I</w:t>
      </w:r>
    </w:p>
    <w:p>
      <w:pPr>
        <w:pStyle w:val="Heading1"/>
        <w:shd w:fill="156082" w:val="clear"/>
      </w:pPr>
      <w:r>
        <w:t>Document purpose</w:t>
      </w:r>
    </w:p>
    <w:p>
      <w:r>
        <w:t>This editable form supports structured feedback after a supervised demonstration or shadow shift.</w:t>
      </w:r>
    </w:p>
    <w:p>
      <w:r>
        <w:t>Use the form to summarize strengths, risks, coaching priorities, and required follow-up before the learner advances.</w:t>
      </w:r>
    </w:p>
    <w:p>
      <w:pPr>
        <w:pStyle w:val="Heading1"/>
        <w:shd w:fill="156082" w:val="clear"/>
      </w:pPr>
      <w:r>
        <w:t>Section context</w:t>
      </w:r>
    </w:p>
    <w:p>
      <w:r>
        <w:t>This section teaches how direct observation, shadow shifts, and supervised performance create the first strong layer of competency evidence.</w:t>
      </w:r>
    </w:p>
    <w:p>
      <w:r>
        <w:t>Show learners and supervisors how observed practice turns role expectations into visible evidence rather than assumptions.</w:t>
      </w:r>
    </w:p>
    <w:p>
      <w:pPr>
        <w:pStyle w:val="Heading2"/>
        <w:shd w:fill="C1E4F5" w:val="clear"/>
      </w:pPr>
      <w:r>
        <w:t>Why this section matters</w:t>
      </w:r>
    </w:p>
    <w:p>
      <w:r>
        <w:t>The strongest early evidence of competency often comes from seeing the learner perform the work in context. Observation matters because it shows how the person prioritizes, communicates, follows procedure, and responds to real-time pressure instead of how they describe the work in theory.</w:t>
      </w:r>
    </w:p>
    <w:p>
      <w:r>
        <w:t>Supervised demonstration is especially important in residential and behavioral-health settings because duties unfold through judgment, pace, relational behavior, and documentation discipline at the same time. A learner may know the policy language but still need support when translating it into live performance.</w:t>
      </w:r>
    </w:p>
    <w:p>
      <w:r>
        <w:t>This section teaches observation as a structured method, not an informal impression. The organization should know what is being watched, which standards are being applied, what notes will be captured, and how the result will shape the learner’s next readiness step.</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Observe real performance</w:t>
            </w:r>
          </w:p>
        </w:tc>
        <w:tc>
          <w:tcPr>
            <w:tcW w:type="dxa" w:w="4680"/>
          </w:tcPr>
          <w:p>
            <w:pPr>
              <w:spacing w:after="120"/>
            </w:pPr>
            <w:r>
              <w:t>Evidence becomes stronger when the learner is seen performing actual duties, not only describing them abstractly.</w:t>
            </w:r>
          </w:p>
        </w:tc>
      </w:tr>
      <w:tr>
        <w:tc>
          <w:tcPr>
            <w:tcW w:type="dxa" w:w="4680"/>
          </w:tcPr>
          <w:p>
            <w:pPr>
              <w:spacing w:after="120"/>
            </w:pPr>
            <w:r>
              <w:t>Use supervision as a control</w:t>
            </w:r>
          </w:p>
        </w:tc>
        <w:tc>
          <w:tcPr>
            <w:tcW w:type="dxa" w:w="4680"/>
          </w:tcPr>
          <w:p>
            <w:pPr>
              <w:spacing w:after="120"/>
            </w:pPr>
            <w:r>
              <w:t>Supervised practice keeps the learner inside safe limits while the organization studies consistency, accuracy, and escalation behavior.</w:t>
            </w:r>
          </w:p>
        </w:tc>
      </w:tr>
      <w:tr>
        <w:tc>
          <w:tcPr>
            <w:tcW w:type="dxa" w:w="4680"/>
          </w:tcPr>
          <w:p>
            <w:pPr>
              <w:spacing w:after="120"/>
            </w:pPr>
            <w:r>
              <w:t>Document what was seen</w:t>
            </w:r>
          </w:p>
        </w:tc>
        <w:tc>
          <w:tcPr>
            <w:tcW w:type="dxa" w:w="4680"/>
          </w:tcPr>
          <w:p>
            <w:pPr>
              <w:spacing w:after="120"/>
            </w:pPr>
            <w:r>
              <w:t>Observation should produce notes specific enough to explain what the learner did well, what remained unclear, and what still needs follow-up.</w:t>
            </w:r>
          </w:p>
        </w:tc>
      </w:tr>
      <w:tr>
        <w:tc>
          <w:tcPr>
            <w:tcW w:type="dxa" w:w="4680"/>
          </w:tcPr>
          <w:p>
            <w:pPr>
              <w:spacing w:after="120"/>
            </w:pPr>
            <w:r>
              <w:t>Link results to next-step decisions</w:t>
            </w:r>
          </w:p>
        </w:tc>
        <w:tc>
          <w:tcPr>
            <w:tcW w:type="dxa" w:w="4680"/>
          </w:tcPr>
          <w:p>
            <w:pPr>
              <w:spacing w:after="120"/>
            </w:pPr>
            <w:r>
              <w:t>Observed performance should affect whether the learner stays supervised, receives coaching, or moves closer to release.</w:t>
            </w:r>
          </w:p>
        </w:tc>
      </w:tr>
    </w:tbl>
    <w:p>
      <w:pPr>
        <w:pStyle w:val="Heading2"/>
        <w:shd w:fill="C1E4F5" w:val="clear"/>
      </w:pPr>
      <w:r>
        <w:t>Key reminders</w:t>
      </w:r>
    </w:p>
    <w:p>
      <w:pPr>
        <w:pStyle w:val="ListBullet"/>
        <w:spacing w:after="120"/>
        <w:ind w:left="720" w:hanging="360"/>
      </w:pPr>
      <w:r>
        <w:t>Observation turns expectations into visible performance evidence.</w:t>
      </w:r>
    </w:p>
    <w:p>
      <w:pPr>
        <w:pStyle w:val="ListBullet"/>
        <w:spacing w:after="120"/>
        <w:ind w:left="720" w:hanging="360"/>
      </w:pPr>
      <w:r>
        <w:t>Supervised demonstration protects safety while the learner is still proving reliability.</w:t>
      </w:r>
    </w:p>
    <w:p>
      <w:pPr>
        <w:pStyle w:val="ListBullet"/>
        <w:spacing w:after="120"/>
        <w:ind w:left="720" w:hanging="360"/>
      </w:pPr>
      <w:r>
        <w:t>The value of observation depends on disciplined note-taking and clear next-step decisions.</w:t>
      </w:r>
    </w:p>
    <w:p>
      <w:r>
        <w:t>A shadow shift or supervised practice block is only useful when the observer is clear about what they are watching and how the result will be used.</w:t>
      </w:r>
    </w:p>
    <w:p>
      <w:pPr>
        <w:pStyle w:val="Heading1"/>
        <w:shd w:fill="156082" w:val="clear"/>
      </w:pPr>
      <w:r>
        <w:t>Instructions</w:t>
      </w:r>
    </w:p>
    <w:p>
      <w:pPr>
        <w:pStyle w:val="ListBullet"/>
        <w:spacing w:after="120"/>
        <w:ind w:left="720" w:hanging="360"/>
      </w:pPr>
      <w:r>
        <w:t>Record the observed task block, date, role pathway, and supervising reviewer.</w:t>
      </w:r>
    </w:p>
    <w:p>
      <w:pPr>
        <w:pStyle w:val="ListBullet"/>
        <w:spacing w:after="120"/>
        <w:ind w:left="720" w:hanging="360"/>
      </w:pPr>
      <w:r>
        <w:t>Summarize where the learner met the standard and where the learner still needs prompting or restriction.</w:t>
      </w:r>
    </w:p>
    <w:p>
      <w:pPr>
        <w:pStyle w:val="ListBullet"/>
        <w:spacing w:after="120"/>
        <w:ind w:left="720" w:hanging="360"/>
      </w:pPr>
      <w:r>
        <w:t>State the follow-up coaching plan and whether another demonstration is required.</w:t>
      </w:r>
    </w:p>
    <w:p>
      <w:pPr>
        <w:pStyle w:val="Heading1"/>
        <w:shd w:fill="156082" w:val="clear"/>
      </w:pPr>
      <w:r>
        <w:t>Worksheet and record fields</w:t>
      </w:r>
    </w:p>
    <w:p>
      <w:pPr>
        <w:pStyle w:val="Heading3"/>
      </w:pPr>
      <w:r>
        <w:t>Observed competency review</w:t>
      </w:r>
    </w:p>
    <w:tbl>
      <w:tblPr>
        <w:tblStyle w:val="TableGrid"/>
        <w:tblW w:type="auto" w:w="0"/>
        <w:jc w:val="left"/>
        <w:tblLook w:firstColumn="1" w:firstRow="1" w:lastColumn="0" w:lastRow="0" w:noHBand="0" w:noVBand="1" w:val="04A0"/>
      </w:tblPr>
      <w:tblGrid>
        <w:gridCol w:w="1872"/>
        <w:gridCol w:w="1872"/>
        <w:gridCol w:w="1872"/>
        <w:gridCol w:w="1872"/>
        <w:gridCol w:w="1872"/>
      </w:tblGrid>
      <w:tr>
        <w:tc>
          <w:tcPr>
            <w:tcW w:type="dxa" w:w="1872"/>
            <w:shd w:fill="0A2F40" w:val="clear"/>
          </w:tcPr>
          <w:p>
            <w:r>
              <w:rPr>
                <w:rFonts w:ascii="Aptos" w:hAnsi="Aptos"/>
                <w:b/>
                <w:color w:val="FFFFFF"/>
                <w:sz w:val="18"/>
              </w:rPr>
              <w:t>Duty or behavior</w:t>
            </w:r>
          </w:p>
        </w:tc>
        <w:tc>
          <w:tcPr>
            <w:tcW w:type="dxa" w:w="1872"/>
            <w:shd w:fill="0A2F40" w:val="clear"/>
          </w:tcPr>
          <w:p>
            <w:r>
              <w:rPr>
                <w:rFonts w:ascii="Aptos" w:hAnsi="Aptos"/>
                <w:b/>
                <w:color w:val="FFFFFF"/>
                <w:sz w:val="18"/>
              </w:rPr>
              <w:t>Observed strength</w:t>
            </w:r>
          </w:p>
        </w:tc>
        <w:tc>
          <w:tcPr>
            <w:tcW w:type="dxa" w:w="1872"/>
            <w:shd w:fill="0A2F40" w:val="clear"/>
          </w:tcPr>
          <w:p>
            <w:r>
              <w:rPr>
                <w:rFonts w:ascii="Aptos" w:hAnsi="Aptos"/>
                <w:b/>
                <w:color w:val="FFFFFF"/>
                <w:sz w:val="18"/>
              </w:rPr>
              <w:t>Observed concern</w:t>
            </w:r>
          </w:p>
        </w:tc>
        <w:tc>
          <w:tcPr>
            <w:tcW w:type="dxa" w:w="1872"/>
            <w:shd w:fill="0A2F40" w:val="clear"/>
          </w:tcPr>
          <w:p>
            <w:r>
              <w:rPr>
                <w:rFonts w:ascii="Aptos" w:hAnsi="Aptos"/>
                <w:b/>
                <w:color w:val="FFFFFF"/>
                <w:sz w:val="18"/>
              </w:rPr>
              <w:t>Coaching action</w:t>
            </w:r>
          </w:p>
        </w:tc>
        <w:tc>
          <w:tcPr>
            <w:tcW w:type="dxa" w:w="1872"/>
            <w:shd w:fill="0A2F40" w:val="clear"/>
          </w:tcPr>
          <w:p>
            <w:r>
              <w:rPr>
                <w:rFonts w:ascii="Aptos" w:hAnsi="Aptos"/>
                <w:b/>
                <w:color w:val="FFFFFF"/>
                <w:sz w:val="18"/>
              </w:rPr>
              <w:t>Follow-up date</w:t>
            </w:r>
          </w:p>
        </w:tc>
      </w:tr>
      <w:tr>
        <w:tc>
          <w:tcPr>
            <w:tcW w:type="dxa" w:w="1872"/>
          </w:tcPr>
          <w:p>
            <w:pPr>
              <w:spacing w:after="120"/>
            </w:pPr>
            <w:r>
              <w:t>Resident-facing routine</w:t>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t>Escalation or reporting</w:t>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t>Documentation or handoff</w:t>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t>Scope-limit adherence</w:t>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bl>
    <w:p>
      <w:pPr>
        <w:pStyle w:val="Heading1"/>
        <w:shd w:fill="156082" w:val="clear"/>
      </w:pPr>
      <w:r>
        <w:t>Reflection and completion prompts</w:t>
      </w:r>
    </w:p>
    <w:p>
      <w:pPr>
        <w:pStyle w:val="ListBullet"/>
        <w:spacing w:after="120"/>
        <w:ind w:left="720" w:hanging="360"/>
      </w:pPr>
      <w:r>
        <w:t>What did the learner demonstrate confidently and consistently?</w:t>
      </w:r>
    </w:p>
    <w:p>
      <w:pPr>
        <w:pStyle w:val="ListBullet"/>
        <w:spacing w:after="120"/>
        <w:ind w:left="720" w:hanging="360"/>
      </w:pPr>
      <w:r>
        <w:t>Which concerns would make broader release premature?</w:t>
      </w:r>
    </w:p>
    <w:p>
      <w:pPr>
        <w:pStyle w:val="ListBullet"/>
        <w:spacing w:after="120"/>
        <w:ind w:left="720" w:hanging="360"/>
      </w:pPr>
      <w:r>
        <w:t>What exact practice should happen before the next review?</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Supervised demonstration coaching form</dc:title>
  <dc:subject>Module 7 — Competency Verification and Multi-Method Evidence — Observation and supervised demonstration</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