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before="120" w:after="160"/>
        <w:jc w:val="center"/>
      </w:pPr>
      <w:r>
        <w:t>Transition and handoff checklist</w:t>
      </w:r>
    </w:p>
    <w:tbl>
      <w:tblPr>
        <w:tblStyle w:val="TableGrid"/>
        <w:tblW w:type="auto" w:w="0"/>
        <w:jc w:val="center"/>
        <w:tblLayout w:type="fixed"/>
        <w:tblLook w:firstColumn="1" w:firstRow="1" w:lastColumn="0" w:lastRow="0" w:noHBand="0" w:noVBand="1" w:val="04A0"/>
      </w:tblPr>
      <w:tblGrid>
        <w:gridCol w:w="4896"/>
        <w:gridCol w:w="4896"/>
      </w:tblGrid>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Module</w:t>
            </w:r>
          </w:p>
        </w:tc>
        <w:tc>
          <w:tcPr>
            <w:tcW w:type="dxa" w:w="6768"/>
            <w:vAlign w:val="center"/>
            <w:tcMar>
              <w:top w:w="40" w:type="dxa"/>
              <w:start w:w="55" w:type="dxa"/>
              <w:bottom w:w="40" w:type="dxa"/>
              <w:end w:w="55" w:type="dxa"/>
            </w:tcMar>
          </w:tcPr>
          <w:p>
            <w:pPr>
              <w:spacing w:after="0" w:line="240" w:lineRule="auto"/>
            </w:pPr>
            <w:r>
              <w:rPr>
                <w:rFonts w:ascii="Aptos" w:hAnsi="Aptos"/>
                <w:sz w:val="18"/>
              </w:rPr>
              <w:t>Module 1: Enterprise and System-of-Care Orientation</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Section</w:t>
            </w:r>
          </w:p>
        </w:tc>
        <w:tc>
          <w:tcPr>
            <w:tcW w:type="dxa" w:w="6768"/>
            <w:vAlign w:val="center"/>
            <w:tcMar>
              <w:top w:w="40" w:type="dxa"/>
              <w:start w:w="55" w:type="dxa"/>
              <w:bottom w:w="40" w:type="dxa"/>
              <w:end w:w="55" w:type="dxa"/>
            </w:tcMar>
          </w:tcPr>
          <w:p>
            <w:pPr>
              <w:spacing w:after="0" w:line="240" w:lineRule="auto"/>
            </w:pPr>
            <w:r>
              <w:rPr>
                <w:rFonts w:ascii="Aptos" w:hAnsi="Aptos"/>
                <w:sz w:val="18"/>
              </w:rPr>
              <w:t>Section 3 — How the system of care works</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Document type</w:t>
            </w:r>
          </w:p>
        </w:tc>
        <w:tc>
          <w:tcPr>
            <w:tcW w:type="dxa" w:w="6768"/>
            <w:vAlign w:val="center"/>
            <w:tcMar>
              <w:top w:w="40" w:type="dxa"/>
              <w:start w:w="55" w:type="dxa"/>
              <w:bottom w:w="40" w:type="dxa"/>
              <w:end w:w="55" w:type="dxa"/>
            </w:tcMar>
          </w:tcPr>
          <w:p>
            <w:pPr>
              <w:spacing w:after="0" w:line="240" w:lineRule="auto"/>
            </w:pPr>
            <w:r>
              <w:rPr>
                <w:rFonts w:ascii="Aptos" w:hAnsi="Aptos"/>
                <w:sz w:val="18"/>
              </w:rPr>
              <w:t>DOCX checklist</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Authored by</w:t>
            </w:r>
          </w:p>
        </w:tc>
        <w:tc>
          <w:tcPr>
            <w:tcW w:type="dxa" w:w="6768"/>
            <w:vAlign w:val="center"/>
            <w:tcMar>
              <w:top w:w="40" w:type="dxa"/>
              <w:start w:w="55" w:type="dxa"/>
              <w:bottom w:w="40" w:type="dxa"/>
              <w:end w:w="55" w:type="dxa"/>
            </w:tcMar>
          </w:tcPr>
          <w:p>
            <w:pPr>
              <w:spacing w:after="0" w:line="240" w:lineRule="auto"/>
            </w:pPr>
            <w:r>
              <w:rPr>
                <w:rFonts w:ascii="Aptos" w:hAnsi="Aptos"/>
                <w:sz w:val="18"/>
              </w:rPr>
              <w:t>AMOS I</w:t>
            </w:r>
          </w:p>
        </w:tc>
      </w:tr>
    </w:tbl>
    <w:p/>
    <w:p>
      <w:pPr>
        <w:spacing w:after="160"/>
        <w:jc w:val="center"/>
      </w:pPr>
      <w:r>
        <w:drawing>
          <wp:inline xmlns:a="http://schemas.openxmlformats.org/drawingml/2006/main" xmlns:pic="http://schemas.openxmlformats.org/drawingml/2006/picture">
            <wp:extent cx="4892040" cy="3653048"/>
            <wp:docPr id="1" name="Picture 1"/>
            <wp:cNvGraphicFramePr>
              <a:graphicFrameLocks noChangeAspect="1"/>
            </wp:cNvGraphicFramePr>
            <a:graphic>
              <a:graphicData uri="http://schemas.openxmlformats.org/drawingml/2006/picture">
                <pic:pic>
                  <pic:nvPicPr>
                    <pic:cNvPr id="0" name="system-of-care.png"/>
                    <pic:cNvPicPr/>
                  </pic:nvPicPr>
                  <pic:blipFill>
                    <a:blip r:embed="rId10"/>
                    <a:stretch>
                      <a:fillRect/>
                    </a:stretch>
                  </pic:blipFill>
                  <pic:spPr>
                    <a:xfrm>
                      <a:off x="0" y="0"/>
                      <a:ext cx="4892040" cy="3653048"/>
                    </a:xfrm>
                    <a:prstGeom prst="rect"/>
                  </pic:spPr>
                </pic:pic>
              </a:graphicData>
            </a:graphic>
          </wp:inline>
        </w:drawing>
      </w:r>
    </w:p>
    <w:p>
      <w:pPr>
        <w:spacing w:after="200"/>
        <w:jc w:val="center"/>
      </w:pPr>
      <w:r>
        <w:rPr>
          <w:rFonts w:ascii="Aptos" w:hAnsi="Aptos"/>
          <w:i/>
          <w:sz w:val="19"/>
        </w:rPr>
        <w:t>Provide an editable checklist that supports safe information transfer during transitions, internal handoffs, and coordinated movement across teams or settings.</w:t>
      </w:r>
    </w:p>
    <w:p>
      <w:pPr>
        <w:pStyle w:val="Heading1"/>
        <w:keepNext/>
        <w:shd w:fill="156082" w:val="clear"/>
      </w:pPr>
      <w:r>
        <w:rPr>
          <w:rFonts w:ascii="Aptos Display" w:hAnsi="Aptos Display"/>
          <w:b/>
          <w:color w:val="FFFFFF"/>
          <w:sz w:val="21"/>
        </w:rPr>
        <w:t>SECTION CONTEXT</w:t>
      </w:r>
    </w:p>
    <w:p>
      <w:r>
        <w:t>Clients do not begin and end their care experience within the residential setting alone. They move through a broader system of care that may include referral, screening, intake, assessment, treatment planning, direct service, family coordination, transition preparation, and follow-up. Residential services contribute to that continuum, but they do not replace the full set of services and decisions that occur before, during, and after the residential period.</w:t>
      </w:r>
    </w:p>
    <w:p>
      <w:r>
        <w:t>This perspective matters because frontline misunderstandings often happen when a team treats the residential environment as the entire system. When that happens, transitions may be poorly coordinated, communication with other stakeholders may weaken, and staff may attempt to manage issues that require broader collaboration. By contrast, when staff understand the full pathway, they can better support continuity, communicate with purpose, and recognize why documentation and handoffs are essential parts of quality care.</w:t>
      </w:r>
    </w:p>
    <w:p>
      <w:r>
        <w:t>This section should help the learner answer a practical question: where are we in the client's journey, and what does that mean for our next action? Sometimes the answer is direct residential support. At other times, the answer is preparation for transition, coordination with a treatment team, clarification of goals, or escalation of concerns. The goal is to teach staff that good care depends on understanding the stage of service, not only the immediate task.</w:t>
      </w:r>
    </w:p>
    <w:p>
      <w:pPr>
        <w:pStyle w:val="Heading1"/>
        <w:keepNext/>
        <w:shd w:fill="156082" w:val="clear"/>
      </w:pPr>
      <w:r>
        <w:rPr>
          <w:rFonts w:ascii="Aptos Display" w:hAnsi="Aptos Display"/>
          <w:b/>
          <w:color w:val="FFFFFF"/>
          <w:sz w:val="21"/>
        </w:rPr>
        <w:t>CORE STAGES IN THE CARE PATHWAY</w:t>
      </w:r>
    </w:p>
    <w:tbl>
      <w:tblPr>
        <w:tblStyle w:val="TableGrid"/>
        <w:tblW w:type="auto" w:w="0"/>
        <w:jc w:val="center"/>
        <w:tblLayout w:type="fixed"/>
        <w:tblLook w:firstColumn="1" w:firstRow="1" w:lastColumn="0" w:lastRow="0" w:noHBand="0" w:noVBand="1" w:val="04A0"/>
      </w:tblPr>
      <w:tblGrid>
        <w:gridCol w:w="4896"/>
        <w:gridCol w:w="4896"/>
      </w:tblGrid>
      <w:tr>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Framework element</w:t>
            </w:r>
          </w:p>
        </w:tc>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Operational meaning</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Entry and assessment</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t>Referral, screening, intake, and assessment establish the starting point for service planning and decision-making.</w:t>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Planning and service delivery</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Treatment planning and residential support work together to provide structured care aligned with identified needs.</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Coordination and family connection</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t>Communication across teams and with relevant supports helps maintain continuity and informed care decisions.</w:t>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Transition and follow-through</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Preparation for next steps, handoffs, and ongoing support planning protects continuity beyond the current setting.</w:t>
            </w:r>
          </w:p>
        </w:tc>
      </w:tr>
    </w:tbl>
    <w:p>
      <w:pPr>
        <w:spacing w:after="60"/>
      </w:pPr>
    </w:p>
    <w:p>
      <w:pPr>
        <w:pStyle w:val="Heading1"/>
        <w:keepNext/>
        <w:shd w:fill="156082" w:val="clear"/>
      </w:pPr>
      <w:r>
        <w:rPr>
          <w:rFonts w:ascii="Aptos Display" w:hAnsi="Aptos Display"/>
          <w:b/>
          <w:color w:val="FFFFFF"/>
          <w:sz w:val="21"/>
        </w:rPr>
        <w:t>KEY LEARNING TAKEAWAYS</w:t>
      </w:r>
    </w:p>
    <w:p>
      <w:pPr>
        <w:pStyle w:val="ListBullet"/>
      </w:pPr>
      <w:r>
        <w:t>Residential care is one part of the client's journey, not the full journey itself.</w:t>
      </w:r>
    </w:p>
    <w:p>
      <w:pPr>
        <w:pStyle w:val="ListBullet"/>
      </w:pPr>
      <w:r>
        <w:t>Transitions, communication, and handoffs are central to continuity of care.</w:t>
      </w:r>
    </w:p>
    <w:p>
      <w:pPr>
        <w:pStyle w:val="ListBullet"/>
      </w:pPr>
      <w:r>
        <w:t>The right action often depends on understanding the client’s stage in the pathway.</w:t>
      </w:r>
    </w:p>
    <w:p>
      <w:r>
        <w:t>A learner should be able to pause during a real situation and ask, 'What stage of the care journey are we supporting right now, and who else must be included for the next step to be safe and effective?'</w:t>
      </w:r>
    </w:p>
    <w:p>
      <w:pPr>
        <w:pStyle w:val="Heading1"/>
        <w:keepNext/>
        <w:shd w:fill="156082" w:val="clear"/>
      </w:pPr>
      <w:r>
        <w:rPr>
          <w:rFonts w:ascii="Aptos Display" w:hAnsi="Aptos Display"/>
          <w:b/>
          <w:color w:val="FFFFFF"/>
          <w:sz w:val="21"/>
        </w:rPr>
        <w:t>CHECKLIST INSTRUCTIONS</w:t>
      </w:r>
    </w:p>
    <w:p>
      <w:r>
        <w:t>Use this checklist whenever a client is moving between shifts, teams, levels of coordination, or settings and a structured handoff is needed. The goal is to support continuity of care by making key information visible, accurate, and actionable.</w:t>
      </w:r>
    </w:p>
    <w:p>
      <w:r>
        <w:t>This checklist should supplement, not replace, local documentation and notification requirements. It is intended to reinforce consistent handoff quality during orientation and real-world practice.</w:t>
      </w:r>
    </w:p>
    <w:p>
      <w:pPr>
        <w:pStyle w:val="Heading1"/>
        <w:keepNext/>
        <w:shd w:fill="156082" w:val="clear"/>
      </w:pPr>
      <w:r>
        <w:rPr>
          <w:rFonts w:ascii="Aptos Display" w:hAnsi="Aptos Display"/>
          <w:b/>
          <w:color w:val="FFFFFF"/>
          <w:sz w:val="21"/>
        </w:rPr>
        <w:t>TRANSITION SNAPSHOT</w:t>
      </w:r>
    </w:p>
    <w:tbl>
      <w:tblPr>
        <w:tblStyle w:val="TableGrid"/>
        <w:tblW w:type="auto" w:w="0"/>
        <w:jc w:val="center"/>
        <w:tblLayout w:type="fixed"/>
        <w:tblLook w:firstColumn="1" w:firstRow="1" w:lastColumn="0" w:lastRow="0" w:noHBand="0" w:noVBand="1" w:val="04A0"/>
      </w:tblPr>
      <w:tblGrid>
        <w:gridCol w:w="4896"/>
        <w:gridCol w:w="4896"/>
      </w:tblGrid>
      <w:tr>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Field</w:t>
            </w:r>
          </w:p>
        </w:tc>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Entry</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Client identifier or initials</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Current stage of service</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Transition or handoff date/time</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Sending staff or team</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Receiving staff, team, or setting</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Purpose of transfer</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bl>
    <w:p>
      <w:pPr>
        <w:spacing w:after="60"/>
      </w:pPr>
    </w:p>
    <w:p>
      <w:pPr>
        <w:pStyle w:val="Heading1"/>
        <w:keepNext/>
        <w:shd w:fill="156082" w:val="clear"/>
      </w:pPr>
      <w:r>
        <w:rPr>
          <w:rFonts w:ascii="Aptos Display" w:hAnsi="Aptos Display"/>
          <w:b/>
          <w:color w:val="FFFFFF"/>
          <w:sz w:val="21"/>
        </w:rPr>
        <w:t>INFORMATION TO CONFIRM BEFORE TRANSFER</w:t>
      </w:r>
    </w:p>
    <w:tbl>
      <w:tblPr>
        <w:tblStyle w:val="TableGrid"/>
        <w:tblW w:type="auto" w:w="0"/>
        <w:jc w:val="center"/>
        <w:tblLayout w:type="fixed"/>
        <w:tblLook w:firstColumn="1" w:firstRow="1" w:lastColumn="0" w:lastRow="0" w:noHBand="0" w:noVBand="1" w:val="04A0"/>
      </w:tblPr>
      <w:tblGrid>
        <w:gridCol w:w="3264"/>
        <w:gridCol w:w="3264"/>
        <w:gridCol w:w="3264"/>
      </w:tblGrid>
      <w:tr>
        <w:tc>
          <w:tcPr>
            <w:tcW w:type="dxa" w:w="30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Checklist item</w:t>
            </w:r>
          </w:p>
        </w:tc>
        <w:tc>
          <w:tcPr>
            <w:tcW w:type="dxa" w:w="30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Verified</w:t>
            </w:r>
          </w:p>
        </w:tc>
        <w:tc>
          <w:tcPr>
            <w:tcW w:type="dxa" w:w="30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Notes</w:t>
            </w:r>
          </w:p>
        </w:tc>
      </w:tr>
      <w:tr>
        <w:tc>
          <w:tcPr>
            <w:tcW w:type="dxa" w:w="3000"/>
            <w:vAlign w:val="top"/>
            <w:tcMar>
              <w:top w:w="40" w:type="dxa"/>
              <w:start w:w="60" w:type="dxa"/>
              <w:bottom w:w="40" w:type="dxa"/>
              <w:end w:w="60" w:type="dxa"/>
            </w:tcMar>
          </w:tcPr>
          <w:p>
            <w:pPr>
              <w:spacing w:line="240" w:lineRule="auto" w:after="20"/>
              <w:jc w:val="left"/>
            </w:pPr>
            <w:r>
              <w:rPr>
                <w:rFonts w:ascii="Aptos" w:hAnsi="Aptos"/>
                <w:sz w:val="17"/>
              </w:rPr>
              <w:t>Current status and relevant observations reviewed</w:t>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t>Immediate safety or supervision concerns communicated</w:t>
            </w:r>
          </w:p>
        </w:tc>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3000"/>
            <w:vAlign w:val="top"/>
            <w:tcMar>
              <w:top w:w="40" w:type="dxa"/>
              <w:start w:w="60" w:type="dxa"/>
              <w:bottom w:w="40" w:type="dxa"/>
              <w:end w:w="60" w:type="dxa"/>
            </w:tcMar>
          </w:tcPr>
          <w:p>
            <w:pPr>
              <w:spacing w:line="240" w:lineRule="auto" w:after="20"/>
              <w:jc w:val="left"/>
            </w:pPr>
            <w:r>
              <w:rPr>
                <w:rFonts w:ascii="Aptos" w:hAnsi="Aptos"/>
                <w:sz w:val="17"/>
              </w:rPr>
              <w:t>Active plan priorities or expectations clarified</w:t>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t>Pending tasks, follow-up items, or appointments identified</w:t>
            </w:r>
          </w:p>
        </w:tc>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3000"/>
            <w:vAlign w:val="top"/>
            <w:tcMar>
              <w:top w:w="40" w:type="dxa"/>
              <w:start w:w="60" w:type="dxa"/>
              <w:bottom w:w="40" w:type="dxa"/>
              <w:end w:w="60" w:type="dxa"/>
            </w:tcMar>
          </w:tcPr>
          <w:p>
            <w:pPr>
              <w:spacing w:line="240" w:lineRule="auto" w:after="20"/>
              <w:jc w:val="left"/>
            </w:pPr>
            <w:r>
              <w:rPr>
                <w:rFonts w:ascii="Aptos" w:hAnsi="Aptos"/>
                <w:sz w:val="17"/>
              </w:rPr>
              <w:t>Required notifications completed or assigned</w:t>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t>Receiving party given opportunity to ask clarifying questions</w:t>
            </w:r>
          </w:p>
        </w:tc>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bl>
    <w:p>
      <w:pPr>
        <w:spacing w:after="60"/>
      </w:pPr>
    </w:p>
    <w:p>
      <w:pPr>
        <w:pStyle w:val="Heading1"/>
        <w:keepNext/>
        <w:shd w:fill="156082" w:val="clear"/>
      </w:pPr>
      <w:r>
        <w:rPr>
          <w:rFonts w:ascii="Aptos Display" w:hAnsi="Aptos Display"/>
          <w:b/>
          <w:color w:val="FFFFFF"/>
          <w:sz w:val="21"/>
        </w:rPr>
        <w:t>RECEIVING-PARTY CONFIRMATION AND UNRESOLVED ITEMS</w:t>
      </w:r>
    </w:p>
    <w:tbl>
      <w:tblPr>
        <w:tblStyle w:val="TableGrid"/>
        <w:tblW w:type="auto" w:w="0"/>
        <w:jc w:val="center"/>
        <w:tblLayout w:type="fixed"/>
        <w:tblLook w:firstColumn="1" w:firstRow="1" w:lastColumn="0" w:lastRow="0" w:noHBand="0" w:noVBand="1" w:val="04A0"/>
      </w:tblPr>
      <w:tblGrid>
        <w:gridCol w:w="4896"/>
        <w:gridCol w:w="4896"/>
      </w:tblGrid>
      <w:tr>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Prompt</w:t>
            </w:r>
          </w:p>
        </w:tc>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Response</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What does the receiving party need to monitor next?</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What remains unresolved at the moment of transfer?</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Who owns the next follow-up action?</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How will loop closure be confirmed?</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bl>
    <w:p>
      <w:pPr>
        <w:spacing w:after="60"/>
      </w:pPr>
    </w:p>
    <w:p>
      <w:pPr>
        <w:pStyle w:val="Heading1"/>
        <w:keepNext/>
        <w:shd w:fill="156082" w:val="clear"/>
      </w:pPr>
      <w:r>
        <w:rPr>
          <w:rFonts w:ascii="Aptos Display" w:hAnsi="Aptos Display"/>
          <w:b/>
          <w:color w:val="FFFFFF"/>
          <w:sz w:val="21"/>
        </w:rPr>
        <w:t>FACILITATOR NOTE</w:t>
      </w:r>
    </w:p>
    <w:p>
      <w:r>
        <w:t>This branded resource is intended to support onboarding conversation, documentation readiness, and consistent practice. It may be adapted to local workflow while preserving the section purpose, structural headings, and Adolbi Care brand treatment.</w:t>
      </w:r>
    </w:p>
    <w:sectPr w:rsidR="00FC693F" w:rsidRPr="0006063C" w:rsidSect="00034616">
      <w:headerReference w:type="default" r:id="rId9"/>
      <w:pgSz w:w="12240" w:h="15840"/>
      <w:pgMar w:top="1224" w:right="1224" w:bottom="1224"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center"/>
      <w:tblLayout w:type="fixed"/>
      <w:tblLook w:firstColumn="1" w:firstRow="1" w:lastColumn="0" w:lastRow="0" w:noHBand="0" w:noVBand="1" w:val="04A0"/>
    </w:tblPr>
    <w:tblGrid>
      <w:gridCol w:w="4968"/>
      <w:gridCol w:w="4392"/>
    </w:tblGrid>
    <w:tr>
      <w:tc>
        <w:tcPr>
          <w:tcW w:type="dxa" w:w="4968"/>
          <w:vAlign w:val="center"/>
          <w:tcMar>
            <w:top w:w="45" w:type="dxa"/>
            <w:start w:w="40" w:type="dxa"/>
            <w:bottom w:w="45" w:type="dxa"/>
            <w:end w:w="40" w:type="dxa"/>
          </w:tcMar>
          <w:shd w:fill="FFFFFF" w:val="clear"/>
        </w:tcPr>
        <w:p>
          <w:pPr>
            <w:jc w:val="left"/>
          </w:pPr>
          <w:r>
            <w:drawing>
              <wp:inline xmlns:a="http://schemas.openxmlformats.org/drawingml/2006/main" xmlns:pic="http://schemas.openxmlformats.org/drawingml/2006/picture">
                <wp:extent cx="1874519" cy="624840"/>
                <wp:docPr id="1" name="Picture 1"/>
                <wp:cNvGraphicFramePr>
                  <a:graphicFrameLocks noChangeAspect="1"/>
                </wp:cNvGraphicFramePr>
                <a:graphic>
                  <a:graphicData uri="http://schemas.openxmlformats.org/drawingml/2006/picture">
                    <pic:pic>
                      <pic:nvPicPr>
                        <pic:cNvPr id="0" name="logo_on_navy.png"/>
                        <pic:cNvPicPr/>
                      </pic:nvPicPr>
                      <pic:blipFill>
                        <a:blip r:embed="rId1"/>
                        <a:stretch>
                          <a:fillRect/>
                        </a:stretch>
                      </pic:blipFill>
                      <pic:spPr>
                        <a:xfrm>
                          <a:off x="0" y="0"/>
                          <a:ext cx="1874519" cy="624840"/>
                        </a:xfrm>
                        <a:prstGeom prst="rect"/>
                      </pic:spPr>
                    </pic:pic>
                  </a:graphicData>
                </a:graphic>
              </wp:inline>
            </w:drawing>
          </w:r>
        </w:p>
      </w:tc>
      <w:tc>
        <w:tcPr>
          <w:tcW w:type="dxa" w:w="4392"/>
          <w:vAlign w:val="center"/>
          <w:tcMar>
            <w:top w:w="45" w:type="dxa"/>
            <w:start w:w="50" w:type="dxa"/>
            <w:bottom w:w="45" w:type="dxa"/>
            <w:end w:w="50" w:type="dxa"/>
          </w:tcMar>
          <w:shd w:fill="E97132" w:val="clear"/>
        </w:tcPr>
        <w:p>
          <w:pPr>
            <w:spacing w:after="0"/>
            <w:jc w:val="center"/>
          </w:pPr>
          <w:r>
            <w:rPr>
              <w:rFonts w:ascii="Aptos Display" w:hAnsi="Aptos Display"/>
              <w:b/>
              <w:color w:val="FFFFFF"/>
              <w:sz w:val="18"/>
            </w:rPr>
            <w:t>BEHAVIORAL HEALTH CENTER AT CYPRESS</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59" w:lineRule="auto" w:before="0" w:after="160"/>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60" w:after="80" w:line="240" w:lineRule="auto"/>
      <w:outlineLvl w:val="0"/>
    </w:pPr>
    <w:rPr>
      <w:rFonts w:asciiTheme="majorHAnsi" w:eastAsiaTheme="majorEastAsia" w:hAnsiTheme="majorHAnsi" w:cstheme="majorBidi" w:ascii="Aptos Display" w:hAnsi="Aptos Display"/>
      <w:b/>
      <w:bCs/>
      <w:caps/>
      <w:color w:val="FFFFFF"/>
      <w:sz w:val="21"/>
      <w:szCs w:val="28"/>
    </w:rPr>
  </w:style>
  <w:style w:type="paragraph" w:styleId="Heading2">
    <w:name w:val="heading 2"/>
    <w:basedOn w:val="Normal"/>
    <w:next w:val="Normal"/>
    <w:link w:val="Heading2Char"/>
    <w:uiPriority w:val="9"/>
    <w:unhideWhenUsed/>
    <w:qFormat/>
    <w:rsid w:val="00FC693F"/>
    <w:pPr>
      <w:keepNext/>
      <w:keepLines/>
      <w:spacing w:before="120" w:after="80" w:line="240" w:lineRule="auto"/>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20" w:after="80" w:line="240" w:lineRule="auto"/>
      <w:outlineLvl w:val="2"/>
    </w:pPr>
    <w:rPr>
      <w:rFonts w:asciiTheme="majorHAnsi" w:eastAsiaTheme="majorEastAsia" w:hAnsiTheme="majorHAnsi" w:cstheme="majorBidi" w:ascii="Aptos Display" w:hAnsi="Aptos Display"/>
      <w:b/>
      <w:bCs/>
      <w:caps w:val="0"/>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160" w:line="240" w:lineRule="auto" w:before="80"/>
      <w:contextualSpacing/>
    </w:pPr>
    <w:rPr>
      <w:rFonts w:asciiTheme="majorHAnsi" w:eastAsiaTheme="majorEastAsia" w:hAnsiTheme="majorHAnsi" w:cstheme="majorBidi" w:ascii="Aptos Display" w:hAnsi="Aptos Display"/>
      <w:color w:val="156082"/>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Transition and handoff checklist</dc:title>
  <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