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Workflow reliability reflection worksheet</w:t>
      </w:r>
    </w:p>
    <w:p>
      <w:pPr>
        <w:spacing w:before="0" w:after="200"/>
      </w:pPr>
      <w:r>
        <w:rPr>
          <w:b/>
        </w:rPr>
        <w:t>Module 4 — Operational Workflow</w:t>
        <w:br/>
      </w:r>
      <w:r>
        <w:t>Section 5 — Documentation, closeout, and workflow reliability</w:t>
        <w:br/>
      </w:r>
      <w:r>
        <w:t>Prepared for Adolbi Care — Behavioral Health Center at Cypress</w:t>
        <w:br/>
      </w:r>
      <w:r>
        <w:t>Authored by AMOS I</w:t>
      </w:r>
    </w:p>
    <w:p>
      <w:pPr>
        <w:pStyle w:val="Heading1"/>
        <w:shd w:fill="156082" w:val="clear"/>
      </w:pPr>
      <w:r>
        <w:t>Document purpose</w:t>
      </w:r>
    </w:p>
    <w:p>
      <w:r>
        <w:t>This editable worksheet helps learners review documentation quality, unresolved items, and the clarity of the next-step handoff at the end of a shift.</w:t>
      </w:r>
    </w:p>
    <w:p>
      <w:r>
        <w:t>Supervisors can use the worksheet during orientation, quality review, or individual coaching to reinforce the habits that make workflow reliable across shifts.</w:t>
      </w:r>
    </w:p>
    <w:p>
      <w:pPr>
        <w:pStyle w:val="Heading1"/>
        <w:shd w:fill="156082" w:val="clear"/>
      </w:pPr>
      <w:r>
        <w:t>Section context</w:t>
      </w:r>
    </w:p>
    <w:p>
      <w:r>
        <w:t>This closing section connects documentation discipline, end-of-shift review, and forward handoff so that the next team can continue work with confidence instead of reconstruction.</w:t>
      </w:r>
    </w:p>
    <w:p>
      <w:r>
        <w:t>Show learners how workflow becomes truly reliable when records, closeout checks, and forward communication preserve continuity beyond the immediate shift.</w:t>
      </w:r>
    </w:p>
    <w:p>
      <w:pPr>
        <w:pStyle w:val="Heading2"/>
        <w:shd w:fill="C1E4F5" w:val="clear"/>
      </w:pPr>
      <w:r>
        <w:t>Why this section matters</w:t>
      </w:r>
    </w:p>
    <w:p>
      <w:r>
        <w:t>A workflow is not complete simply because the visible activity has stopped. Work becomes dependable when the record reflects what happened, unresolved items are visible, and the next team can continue without guessing what was done or what remains. This section teaches closeout as an operational responsibility rather than a final administrative chore added after the real work is over.</w:t>
      </w:r>
    </w:p>
    <w:p>
      <w:r>
        <w:t>Documentation serves several functions at once. It preserves factual continuity, supports accountability, helps peers and leaders review what occurred, and prevents important concerns from disappearing between shifts. When documentation is weak or closeout is rushed, the next period of work often begins with reconstruction instead of progression. Time is lost, trust is reduced, and avoidable risk can accumulate in the gaps.</w:t>
      </w:r>
    </w:p>
    <w:p>
      <w:r>
        <w:t>Learners should leave this final section with a practical definition of workflow reliability: the work was performed, the next step is visible, and the record allows another person to continue safely and efficiently. Documentation, review, and closeout are therefore not outside the workflow. They are part of how good workflow is completed.</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Record what matters</w:t>
            </w:r>
          </w:p>
        </w:tc>
        <w:tc>
          <w:tcPr>
            <w:tcW w:type="dxa" w:w="4680"/>
          </w:tcPr>
          <w:p>
            <w:pPr>
              <w:spacing w:after="120"/>
            </w:pPr>
            <w:r>
              <w:t>Documentation should capture the information another responsible person needs in order to continue, review, or escalate the work.</w:t>
            </w:r>
          </w:p>
        </w:tc>
      </w:tr>
      <w:tr>
        <w:tc>
          <w:tcPr>
            <w:tcW w:type="dxa" w:w="4680"/>
          </w:tcPr>
          <w:p>
            <w:pPr>
              <w:spacing w:after="120"/>
            </w:pPr>
            <w:r>
              <w:t>Review before release</w:t>
            </w:r>
          </w:p>
        </w:tc>
        <w:tc>
          <w:tcPr>
            <w:tcW w:type="dxa" w:w="4680"/>
          </w:tcPr>
          <w:p>
            <w:pPr>
              <w:spacing w:after="120"/>
            </w:pPr>
            <w:r>
              <w:t>Closeout is stronger when staff pause to confirm completeness, unresolved items, and required follow-through.</w:t>
            </w:r>
          </w:p>
        </w:tc>
      </w:tr>
      <w:tr>
        <w:tc>
          <w:tcPr>
            <w:tcW w:type="dxa" w:w="4680"/>
          </w:tcPr>
          <w:p>
            <w:pPr>
              <w:spacing w:after="120"/>
            </w:pPr>
            <w:r>
              <w:t>Hand forward intentionally</w:t>
            </w:r>
          </w:p>
        </w:tc>
        <w:tc>
          <w:tcPr>
            <w:tcW w:type="dxa" w:w="4680"/>
          </w:tcPr>
          <w:p>
            <w:pPr>
              <w:spacing w:after="120"/>
            </w:pPr>
            <w:r>
              <w:t>The next team should receive visibility into pending concerns, completed actions, and what now requires attention.</w:t>
            </w:r>
          </w:p>
        </w:tc>
      </w:tr>
      <w:tr>
        <w:tc>
          <w:tcPr>
            <w:tcW w:type="dxa" w:w="4680"/>
          </w:tcPr>
          <w:p>
            <w:pPr>
              <w:spacing w:after="120"/>
            </w:pPr>
            <w:r>
              <w:t>Measure reliability across shifts</w:t>
            </w:r>
          </w:p>
        </w:tc>
        <w:tc>
          <w:tcPr>
            <w:tcW w:type="dxa" w:w="4680"/>
          </w:tcPr>
          <w:p>
            <w:pPr>
              <w:spacing w:after="120"/>
            </w:pPr>
            <w:r>
              <w:t>Workflow quality is proven when continuity survives the transition into the next period of work.</w:t>
            </w:r>
          </w:p>
        </w:tc>
      </w:tr>
    </w:tbl>
    <w:p>
      <w:pPr>
        <w:pStyle w:val="Heading2"/>
        <w:shd w:fill="C1E4F5" w:val="clear"/>
      </w:pPr>
      <w:r>
        <w:t>Key reminders</w:t>
      </w:r>
    </w:p>
    <w:p>
      <w:pPr>
        <w:pStyle w:val="ListBullet"/>
        <w:spacing w:after="120"/>
        <w:ind w:left="720" w:hanging="360"/>
      </w:pPr>
      <w:r>
        <w:t>Documentation is part of workflow execution, not an afterthought.</w:t>
      </w:r>
    </w:p>
    <w:p>
      <w:pPr>
        <w:pStyle w:val="ListBullet"/>
        <w:spacing w:after="120"/>
        <w:ind w:left="720" w:hanging="360"/>
      </w:pPr>
      <w:r>
        <w:t>End-of-shift closeout protects continuity for the next team.</w:t>
      </w:r>
    </w:p>
    <w:p>
      <w:pPr>
        <w:pStyle w:val="ListBullet"/>
        <w:spacing w:after="120"/>
        <w:ind w:left="720" w:hanging="360"/>
      </w:pPr>
      <w:r>
        <w:t>Reliable work leaves a usable record and a visible next step.</w:t>
      </w:r>
    </w:p>
    <w:p>
      <w:r>
        <w:t>The final lesson should help learners see that good workflow ends with clarity for the next person. If the hand-forward record is weak, the workflow remains unfinished.</w:t>
      </w:r>
    </w:p>
    <w:p>
      <w:pPr>
        <w:pStyle w:val="Heading1"/>
        <w:shd w:fill="156082" w:val="clear"/>
      </w:pPr>
      <w:r>
        <w:t>Instructions</w:t>
      </w:r>
    </w:p>
    <w:p>
      <w:pPr>
        <w:pStyle w:val="ListBullet"/>
        <w:spacing w:after="120"/>
        <w:ind w:left="720" w:hanging="360"/>
      </w:pPr>
      <w:r>
        <w:t>Ask the learner to review a recent closeout or end-of-shift transition from ordinary work.</w:t>
      </w:r>
    </w:p>
    <w:p>
      <w:pPr>
        <w:pStyle w:val="ListBullet"/>
        <w:spacing w:after="120"/>
        <w:ind w:left="720" w:hanging="360"/>
      </w:pPr>
      <w:r>
        <w:t>Use the worksheet to identify what was documented well, what remained unclear, and what should have been made more visible for the next team.</w:t>
      </w:r>
    </w:p>
    <w:p>
      <w:pPr>
        <w:pStyle w:val="ListBullet"/>
        <w:spacing w:after="120"/>
        <w:ind w:left="720" w:hanging="360"/>
      </w:pPr>
      <w:r>
        <w:t>End by naming one closeout habit the learner will strengthen during the next work period.</w:t>
      </w:r>
    </w:p>
    <w:p>
      <w:pPr>
        <w:pStyle w:val="Heading1"/>
        <w:shd w:fill="156082" w:val="clear"/>
      </w:pPr>
      <w:r>
        <w:t>Worksheet and record fields</w:t>
      </w:r>
    </w:p>
    <w:p>
      <w:pPr>
        <w:pStyle w:val="Heading3"/>
      </w:pPr>
      <w:r>
        <w:t>Closeout review grid</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What was clearly documented</w:t>
            </w:r>
          </w:p>
        </w:tc>
        <w:tc>
          <w:tcPr>
            <w:tcW w:type="dxa" w:w="3120"/>
            <w:shd w:fill="0A2F40" w:val="clear"/>
          </w:tcPr>
          <w:p>
            <w:r>
              <w:rPr>
                <w:rFonts w:ascii="Aptos" w:hAnsi="Aptos"/>
                <w:b/>
                <w:color w:val="FFFFFF"/>
                <w:sz w:val="18"/>
              </w:rPr>
              <w:t>What remained unresolved</w:t>
            </w:r>
          </w:p>
        </w:tc>
        <w:tc>
          <w:tcPr>
            <w:tcW w:type="dxa" w:w="3120"/>
            <w:shd w:fill="0A2F40" w:val="clear"/>
          </w:tcPr>
          <w:p>
            <w:r>
              <w:rPr>
                <w:rFonts w:ascii="Aptos" w:hAnsi="Aptos"/>
                <w:b/>
                <w:color w:val="FFFFFF"/>
                <w:sz w:val="18"/>
              </w:rPr>
              <w:t>What should have been handed forward more clearly</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3"/>
      </w:pPr>
      <w:r>
        <w:t>Reliability action plan</w:t>
      </w:r>
    </w:p>
    <w:tbl>
      <w:tblPr>
        <w:tblStyle w:val="TableGrid"/>
        <w:tblW w:type="auto" w:w="0"/>
        <w:jc w:val="left"/>
        <w:tblLook w:firstColumn="1" w:firstRow="1" w:lastColumn="0" w:lastRow="0" w:noHBand="0" w:noVBand="1" w:val="04A0"/>
      </w:tblPr>
      <w:tblGrid>
        <w:gridCol w:w="3120"/>
        <w:gridCol w:w="3120"/>
        <w:gridCol w:w="3120"/>
      </w:tblGrid>
      <w:tr>
        <w:tc>
          <w:tcPr>
            <w:tcW w:type="dxa" w:w="3120"/>
            <w:shd w:fill="0A2F40" w:val="clear"/>
          </w:tcPr>
          <w:p>
            <w:r>
              <w:rPr>
                <w:rFonts w:ascii="Aptos" w:hAnsi="Aptos"/>
                <w:b/>
                <w:color w:val="FFFFFF"/>
                <w:sz w:val="18"/>
              </w:rPr>
              <w:t>Closeout habit to strengthen</w:t>
            </w:r>
          </w:p>
        </w:tc>
        <w:tc>
          <w:tcPr>
            <w:tcW w:type="dxa" w:w="3120"/>
            <w:shd w:fill="0A2F40" w:val="clear"/>
          </w:tcPr>
          <w:p>
            <w:r>
              <w:rPr>
                <w:rFonts w:ascii="Aptos" w:hAnsi="Aptos"/>
                <w:b/>
                <w:color w:val="FFFFFF"/>
                <w:sz w:val="18"/>
              </w:rPr>
              <w:t>Why it matters</w:t>
            </w:r>
          </w:p>
        </w:tc>
        <w:tc>
          <w:tcPr>
            <w:tcW w:type="dxa" w:w="3120"/>
            <w:shd w:fill="0A2F40" w:val="clear"/>
          </w:tcPr>
          <w:p>
            <w:r>
              <w:rPr>
                <w:rFonts w:ascii="Aptos" w:hAnsi="Aptos"/>
                <w:b/>
                <w:color w:val="FFFFFF"/>
                <w:sz w:val="18"/>
              </w:rPr>
              <w:t>How I will verify improvement</w:t>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r>
        <w:tc>
          <w:tcPr>
            <w:tcW w:type="dxa" w:w="3120"/>
          </w:tcPr>
          <w:p>
            <w:pPr>
              <w:spacing w:after="120"/>
            </w:pPr>
            <w:r/>
          </w:p>
        </w:tc>
        <w:tc>
          <w:tcPr>
            <w:tcW w:type="dxa" w:w="3120"/>
          </w:tcPr>
          <w:p>
            <w:pPr>
              <w:spacing w:after="120"/>
            </w:pPr>
            <w:r/>
          </w:p>
        </w:tc>
        <w:tc>
          <w:tcPr>
            <w:tcW w:type="dxa" w:w="3120"/>
          </w:tcPr>
          <w:p>
            <w:pPr>
              <w:spacing w:after="120"/>
            </w:pPr>
            <w:r/>
          </w:p>
        </w:tc>
      </w:tr>
    </w:tbl>
    <w:p>
      <w:pPr>
        <w:pStyle w:val="Heading1"/>
        <w:shd w:fill="156082" w:val="clear"/>
      </w:pPr>
      <w:r>
        <w:t>Reflection and completion prompts</w:t>
      </w:r>
    </w:p>
    <w:p>
      <w:pPr>
        <w:pStyle w:val="ListBullet"/>
        <w:spacing w:after="120"/>
        <w:ind w:left="720" w:hanging="360"/>
      </w:pPr>
      <w:r>
        <w:t>Describe a time when the next shift had to reconstruct what should already have been clear from the record.</w:t>
      </w:r>
    </w:p>
    <w:p>
      <w:pPr>
        <w:pStyle w:val="ListBullet"/>
        <w:spacing w:after="120"/>
        <w:ind w:left="720" w:hanging="360"/>
      </w:pPr>
      <w:r>
        <w:t>What one closeout habit would most improve continuity in your setting?</w:t>
      </w:r>
    </w:p>
    <w:p>
      <w:pPr>
        <w:pStyle w:val="ListBullet"/>
        <w:spacing w:after="120"/>
        <w:ind w:left="720" w:hanging="360"/>
      </w:pPr>
      <w:r>
        <w:t>How would you know the workflow is truly complete before handing it forward?</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Workflow reliability reflection worksheet</dc:title>
  <dc:subject>Module 4 — Operational Workflow — Documentation, closeout, and workflow reliability</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